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Ind w:w="0" w:type="dxa"/>
        <w:tblLayout w:type="fixed"/>
        <w:tblLook w:val="0000" w:firstRow="0" w:lastRow="0" w:firstColumn="0" w:lastColumn="0" w:noHBand="0" w:noVBand="0"/>
      </w:tblPr>
      <w:tblGrid>
        <w:gridCol w:w="4836"/>
        <w:gridCol w:w="5214"/>
      </w:tblGrid>
      <w:tr w:rsidR="008E76CC" w14:paraId="0EC28C36" w14:textId="77777777">
        <w:trPr>
          <w:jc w:val="center"/>
        </w:trPr>
        <w:tc>
          <w:tcPr>
            <w:tcW w:w="4836" w:type="dxa"/>
          </w:tcPr>
          <w:p w14:paraId="0E67F1D7" w14:textId="66F6E5AA" w:rsidR="009E41EB" w:rsidRPr="00214733" w:rsidRDefault="0053290A" w:rsidP="009E41EB">
            <w:pPr>
              <w:tabs>
                <w:tab w:val="center" w:pos="2700"/>
              </w:tabs>
              <w:spacing w:line="288" w:lineRule="auto"/>
              <w:ind w:left="-57" w:right="-57" w:hanging="91"/>
              <w:jc w:val="center"/>
              <w:rPr>
                <w:b/>
              </w:rPr>
            </w:pPr>
            <w:r>
              <w:rPr>
                <w:b/>
                <w:noProof/>
                <w:color w:val="000000"/>
                <w:lang w:val="en-US" w:eastAsia="zh-CN"/>
              </w:rPr>
              <mc:AlternateContent>
                <mc:Choice Requires="wps">
                  <w:drawing>
                    <wp:anchor distT="0" distB="0" distL="114300" distR="114300" simplePos="0" relativeHeight="251657728" behindDoc="0" locked="0" layoutInCell="1" allowOverlap="1" wp14:anchorId="58EA0F48" wp14:editId="4ADBA287">
                      <wp:simplePos x="0" y="0"/>
                      <wp:positionH relativeFrom="column">
                        <wp:posOffset>2379980</wp:posOffset>
                      </wp:positionH>
                      <wp:positionV relativeFrom="paragraph">
                        <wp:posOffset>-545465</wp:posOffset>
                      </wp:positionV>
                      <wp:extent cx="1494790" cy="429895"/>
                      <wp:effectExtent l="3810" t="3175" r="0" b="0"/>
                      <wp:wrapNone/>
                      <wp:docPr id="6268214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790"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988938" w14:textId="77777777" w:rsidR="008E76CC" w:rsidRDefault="008E76CC">
                                  <w:pPr>
                                    <w:pBdr>
                                      <w:top w:val="single" w:sz="12" w:space="4" w:color="auto"/>
                                      <w:left w:val="single" w:sz="12" w:space="4" w:color="auto"/>
                                      <w:bottom w:val="single" w:sz="12" w:space="1" w:color="auto"/>
                                      <w:right w:val="single" w:sz="12" w:space="4" w:color="auto"/>
                                    </w:pBdr>
                                    <w:spacing w:before="60"/>
                                    <w:jc w:val="center"/>
                                  </w:pPr>
                                  <w:r>
                                    <w:t>BẢN 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A0F48" id="_x0000_t202" coordsize="21600,21600" o:spt="202" path="m,l,21600r21600,l21600,xe">
                      <v:stroke joinstyle="miter"/>
                      <v:path gradientshapeok="t" o:connecttype="rect"/>
                    </v:shapetype>
                    <v:shape id="Text Box 4" o:spid="_x0000_s1026" type="#_x0000_t202" style="position:absolute;left:0;text-align:left;margin-left:187.4pt;margin-top:-42.95pt;width:117.7pt;height:3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" stroked="f">
                      <v:textbox>
                        <w:txbxContent>
                          <w:p w14:paraId="4E988938" w14:textId="77777777" w:rsidR="008E76CC" w:rsidRDefault="008E76CC">
                            <w:pPr>
                              <w:pBdr>
                                <w:top w:val="single" w:sz="12" w:space="4" w:color="auto"/>
                                <w:left w:val="single" w:sz="12" w:space="4" w:color="auto"/>
                                <w:bottom w:val="single" w:sz="12" w:space="1" w:color="auto"/>
                                <w:right w:val="single" w:sz="12" w:space="4" w:color="auto"/>
                              </w:pBdr>
                              <w:spacing w:before="60"/>
                              <w:jc w:val="center"/>
                            </w:pPr>
                            <w:r>
                              <w:t>BẢN DỰ THẢO</w:t>
                            </w:r>
                          </w:p>
                        </w:txbxContent>
                      </v:textbox>
                    </v:shape>
                  </w:pict>
                </mc:Fallback>
              </mc:AlternateContent>
            </w:r>
            <w:r w:rsidR="009E41EB" w:rsidRPr="00214733">
              <w:rPr>
                <w:b/>
              </w:rPr>
              <w:t xml:space="preserve"> CÔNG TY CỔ PHẦN ĐẦU TƯ VÀ PHÁT TRIỂN ĐA QUỐC GIA I.D.I</w:t>
            </w:r>
          </w:p>
          <w:p w14:paraId="44B58E9C" w14:textId="0C08866A" w:rsidR="008E76CC" w:rsidRDefault="0053290A">
            <w:pPr>
              <w:spacing w:line="288" w:lineRule="auto"/>
              <w:jc w:val="center"/>
              <w:rPr>
                <w:b/>
                <w:color w:val="000000"/>
              </w:rPr>
            </w:pPr>
            <w:r>
              <w:rPr>
                <w:b/>
                <w:noProof/>
                <w:color w:val="000000"/>
                <w:lang w:val="en-US" w:eastAsia="zh-CN"/>
              </w:rPr>
              <w:drawing>
                <wp:anchor distT="0" distB="0" distL="114300" distR="114300" simplePos="0" relativeHeight="251658752" behindDoc="0" locked="0" layoutInCell="1" allowOverlap="1" wp14:anchorId="265931AC" wp14:editId="3B9631FD">
                  <wp:simplePos x="0" y="0"/>
                  <wp:positionH relativeFrom="column">
                    <wp:posOffset>1180465</wp:posOffset>
                  </wp:positionH>
                  <wp:positionV relativeFrom="paragraph">
                    <wp:posOffset>1270</wp:posOffset>
                  </wp:positionV>
                  <wp:extent cx="786130" cy="54292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613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CD7C8" w14:textId="77777777" w:rsidR="008E76CC" w:rsidRDefault="008E76CC">
            <w:pPr>
              <w:spacing w:line="288" w:lineRule="auto"/>
              <w:jc w:val="center"/>
              <w:rPr>
                <w:b/>
                <w:color w:val="000000"/>
              </w:rPr>
            </w:pPr>
          </w:p>
        </w:tc>
        <w:tc>
          <w:tcPr>
            <w:tcW w:w="5214" w:type="dxa"/>
          </w:tcPr>
          <w:p w14:paraId="475ED6B8" w14:textId="77777777" w:rsidR="008E76CC" w:rsidRDefault="008E76CC">
            <w:pPr>
              <w:spacing w:line="288" w:lineRule="auto"/>
              <w:ind w:left="-108" w:right="-164"/>
              <w:jc w:val="center"/>
              <w:rPr>
                <w:b/>
                <w:color w:val="000000"/>
              </w:rPr>
            </w:pPr>
            <w:r>
              <w:rPr>
                <w:b/>
                <w:color w:val="000000"/>
              </w:rPr>
              <w:t>CỘNG HÒA XÃ HỘI CHỦ NGHĨA VIỆT NAM</w:t>
            </w:r>
          </w:p>
          <w:p w14:paraId="1C601A20" w14:textId="77777777" w:rsidR="008E76CC" w:rsidRDefault="008E76CC">
            <w:pPr>
              <w:spacing w:line="288" w:lineRule="auto"/>
              <w:ind w:left="-3"/>
              <w:jc w:val="center"/>
              <w:rPr>
                <w:i/>
                <w:color w:val="000000"/>
              </w:rPr>
            </w:pPr>
            <w:r>
              <w:rPr>
                <w:b/>
                <w:color w:val="000000"/>
              </w:rPr>
              <w:t>Độc lập – Tự do – Hạnh phúc</w:t>
            </w:r>
          </w:p>
          <w:p w14:paraId="2DD709D4" w14:textId="7BC99F19" w:rsidR="008E76CC" w:rsidRDefault="0053290A">
            <w:pPr>
              <w:spacing w:line="288" w:lineRule="auto"/>
              <w:ind w:left="-3"/>
              <w:jc w:val="right"/>
              <w:rPr>
                <w:i/>
                <w:color w:val="000000"/>
              </w:rPr>
            </w:pPr>
            <w:r>
              <w:rPr>
                <w:b/>
                <w:noProof/>
                <w:color w:val="000000"/>
                <w:lang w:val="en-US" w:eastAsia="zh-CN"/>
              </w:rPr>
              <mc:AlternateContent>
                <mc:Choice Requires="wps">
                  <w:drawing>
                    <wp:anchor distT="0" distB="0" distL="114300" distR="114300" simplePos="0" relativeHeight="251656704" behindDoc="0" locked="0" layoutInCell="1" allowOverlap="1" wp14:anchorId="46D35845" wp14:editId="617C6207">
                      <wp:simplePos x="0" y="0"/>
                      <wp:positionH relativeFrom="column">
                        <wp:posOffset>609600</wp:posOffset>
                      </wp:positionH>
                      <wp:positionV relativeFrom="paragraph">
                        <wp:posOffset>1270</wp:posOffset>
                      </wp:positionV>
                      <wp:extent cx="1964055" cy="0"/>
                      <wp:effectExtent l="8890" t="8255" r="8255" b="10795"/>
                      <wp:wrapNone/>
                      <wp:docPr id="186636290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4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3DBEB1" id="_x0000_t32" coordsize="21600,21600" o:spt="32" o:oned="t" path="m,l21600,21600e" filled="f">
                      <v:path arrowok="t" fillok="f" o:connecttype="none"/>
                      <o:lock v:ext="edit" shapetype="t"/>
                    </v:shapetype>
                    <v:shape id="AutoShape 3" o:spid="_x0000_s1026" type="#_x0000_t32" style="position:absolute;margin-left:48pt;margin-top:.1pt;width:154.6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"/>
                  </w:pict>
                </mc:Fallback>
              </mc:AlternateContent>
            </w:r>
          </w:p>
          <w:p w14:paraId="2DA0D971" w14:textId="77777777" w:rsidR="008E76CC" w:rsidRDefault="009E41EB" w:rsidP="002250E7">
            <w:pPr>
              <w:spacing w:line="288" w:lineRule="auto"/>
              <w:ind w:left="-3"/>
              <w:jc w:val="right"/>
              <w:rPr>
                <w:b/>
                <w:color w:val="000000"/>
                <w:lang w:val="en-GB"/>
              </w:rPr>
            </w:pPr>
            <w:r>
              <w:rPr>
                <w:i/>
                <w:color w:val="000000"/>
              </w:rPr>
              <w:t>Thanh Hóa</w:t>
            </w:r>
            <w:r w:rsidR="008E76CC">
              <w:rPr>
                <w:i/>
                <w:color w:val="000000"/>
              </w:rPr>
              <w:t xml:space="preserve">, ngày </w:t>
            </w:r>
            <w:r w:rsidR="002250E7">
              <w:rPr>
                <w:i/>
                <w:color w:val="0000FF"/>
              </w:rPr>
              <w:t>2</w:t>
            </w:r>
            <w:r>
              <w:rPr>
                <w:i/>
                <w:color w:val="0000FF"/>
              </w:rPr>
              <w:t>4</w:t>
            </w:r>
            <w:r w:rsidR="005B134E" w:rsidRPr="00D2256B">
              <w:rPr>
                <w:i/>
                <w:color w:val="0000FF"/>
              </w:rPr>
              <w:t xml:space="preserve"> </w:t>
            </w:r>
            <w:r w:rsidR="008E76CC" w:rsidRPr="00C350D5">
              <w:rPr>
                <w:i/>
                <w:color w:val="0000FF"/>
              </w:rPr>
              <w:t xml:space="preserve">tháng </w:t>
            </w:r>
            <w:r w:rsidR="004556F7" w:rsidRPr="00C350D5">
              <w:rPr>
                <w:i/>
                <w:color w:val="0000FF"/>
              </w:rPr>
              <w:t>0</w:t>
            </w:r>
            <w:r w:rsidR="00D2256B">
              <w:rPr>
                <w:i/>
                <w:color w:val="0000FF"/>
              </w:rPr>
              <w:t>4</w:t>
            </w:r>
            <w:r w:rsidR="008E76CC" w:rsidRPr="00C350D5">
              <w:rPr>
                <w:i/>
                <w:color w:val="0000FF"/>
              </w:rPr>
              <w:t xml:space="preserve"> năm 20</w:t>
            </w:r>
            <w:r w:rsidR="008E76CC" w:rsidRPr="00C350D5">
              <w:rPr>
                <w:i/>
                <w:color w:val="0000FF"/>
                <w:lang w:val="en-GB"/>
              </w:rPr>
              <w:t>2</w:t>
            </w:r>
            <w:r w:rsidR="00D2256B">
              <w:rPr>
                <w:i/>
                <w:color w:val="0000FF"/>
                <w:lang w:val="en-GB"/>
              </w:rPr>
              <w:t>5</w:t>
            </w:r>
          </w:p>
        </w:tc>
      </w:tr>
    </w:tbl>
    <w:p w14:paraId="5889A405" w14:textId="77777777" w:rsidR="008E76CC" w:rsidRDefault="008E76CC">
      <w:pPr>
        <w:jc w:val="center"/>
        <w:rPr>
          <w:b/>
          <w:color w:val="000000"/>
          <w:sz w:val="36"/>
          <w:szCs w:val="28"/>
        </w:rPr>
      </w:pPr>
    </w:p>
    <w:p w14:paraId="33663AB2" w14:textId="77777777" w:rsidR="008E76CC" w:rsidRDefault="008E76CC">
      <w:pPr>
        <w:jc w:val="center"/>
        <w:rPr>
          <w:b/>
          <w:color w:val="000000"/>
          <w:sz w:val="32"/>
          <w:szCs w:val="32"/>
        </w:rPr>
      </w:pPr>
      <w:r>
        <w:rPr>
          <w:b/>
          <w:color w:val="000000"/>
          <w:sz w:val="32"/>
          <w:szCs w:val="32"/>
        </w:rPr>
        <w:t>QUY ĐỊNH VỀ THỂ LỆ BIỂU QUYẾT</w:t>
      </w:r>
    </w:p>
    <w:p w14:paraId="73E68133" w14:textId="77777777" w:rsidR="008E76CC" w:rsidRDefault="008E76CC">
      <w:pPr>
        <w:spacing w:before="120"/>
        <w:jc w:val="center"/>
        <w:rPr>
          <w:b/>
          <w:color w:val="000000"/>
          <w:sz w:val="28"/>
          <w:lang w:val="en-GB"/>
        </w:rPr>
      </w:pPr>
      <w:r>
        <w:rPr>
          <w:b/>
          <w:color w:val="000000"/>
          <w:sz w:val="28"/>
        </w:rPr>
        <w:t>TẠI ĐẠI HỘI ĐỒNG CỔ ĐÔNG THƯỜNG NIÊN</w:t>
      </w:r>
      <w:r w:rsidRPr="00C350D5">
        <w:rPr>
          <w:b/>
          <w:color w:val="0000FF"/>
          <w:sz w:val="28"/>
        </w:rPr>
        <w:t xml:space="preserve"> 20</w:t>
      </w:r>
      <w:r w:rsidR="00987D1C" w:rsidRPr="00C350D5">
        <w:rPr>
          <w:b/>
          <w:color w:val="0000FF"/>
          <w:sz w:val="28"/>
          <w:lang w:val="en-GB"/>
        </w:rPr>
        <w:t>2</w:t>
      </w:r>
      <w:r w:rsidR="00D2256B">
        <w:rPr>
          <w:b/>
          <w:color w:val="0000FF"/>
          <w:sz w:val="28"/>
          <w:lang w:val="en-GB"/>
        </w:rPr>
        <w:t>5</w:t>
      </w:r>
    </w:p>
    <w:p w14:paraId="6CF766C1" w14:textId="77777777" w:rsidR="008E76CC" w:rsidRDefault="008E76CC">
      <w:pPr>
        <w:spacing w:before="60"/>
        <w:jc w:val="center"/>
        <w:rPr>
          <w:color w:val="000000"/>
        </w:rPr>
      </w:pPr>
      <w:r>
        <w:rPr>
          <w:b/>
          <w:color w:val="000000"/>
          <w:sz w:val="28"/>
        </w:rPr>
        <w:t xml:space="preserve">CÔNG TY CỔ PHẦN </w:t>
      </w:r>
      <w:r w:rsidR="009E41EB">
        <w:rPr>
          <w:b/>
          <w:color w:val="000000"/>
          <w:sz w:val="28"/>
        </w:rPr>
        <w:t>ĐẦU TƯ VÀ PHÁT TRIỂN ĐA QUỐC GIA IDI</w:t>
      </w:r>
    </w:p>
    <w:p w14:paraId="6A2DE33C" w14:textId="77777777" w:rsidR="008E76CC" w:rsidRDefault="008E76CC">
      <w:pPr>
        <w:rPr>
          <w:color w:val="000000"/>
        </w:rPr>
      </w:pPr>
    </w:p>
    <w:p w14:paraId="7D736F00" w14:textId="77777777" w:rsidR="008E76CC" w:rsidRDefault="008E76CC">
      <w:pPr>
        <w:spacing w:after="120"/>
        <w:jc w:val="both"/>
        <w:rPr>
          <w:i/>
          <w:color w:val="000000"/>
          <w:u w:val="single"/>
        </w:rPr>
      </w:pPr>
      <w:r>
        <w:rPr>
          <w:i/>
          <w:color w:val="000000"/>
          <w:u w:val="single"/>
        </w:rPr>
        <w:t>Căn cứ:</w:t>
      </w:r>
    </w:p>
    <w:p w14:paraId="50765D04" w14:textId="77777777" w:rsidR="008E76CC" w:rsidRDefault="008E76CC">
      <w:pPr>
        <w:numPr>
          <w:ilvl w:val="0"/>
          <w:numId w:val="1"/>
        </w:numPr>
        <w:tabs>
          <w:tab w:val="left" w:pos="720"/>
        </w:tabs>
        <w:autoSpaceDE w:val="0"/>
        <w:autoSpaceDN w:val="0"/>
        <w:adjustRightInd w:val="0"/>
        <w:spacing w:before="120" w:after="120"/>
        <w:jc w:val="both"/>
        <w:rPr>
          <w:i/>
          <w:color w:val="000000"/>
        </w:rPr>
      </w:pPr>
      <w:r>
        <w:rPr>
          <w:i/>
          <w:color w:val="000000"/>
        </w:rPr>
        <w:t xml:space="preserve">Căn cứ Luật Doanh nghiệp </w:t>
      </w:r>
      <w:r w:rsidRPr="00157DAC">
        <w:rPr>
          <w:i/>
        </w:rPr>
        <w:t>số 59/2020/QH14 ngày 17/06/2020 của Nước</w:t>
      </w:r>
      <w:r>
        <w:rPr>
          <w:i/>
          <w:color w:val="000000"/>
        </w:rPr>
        <w:t xml:space="preserve"> Cộng </w:t>
      </w:r>
      <w:r w:rsidR="00C350D5">
        <w:rPr>
          <w:i/>
          <w:color w:val="000000"/>
        </w:rPr>
        <w:t xml:space="preserve">Hòa Xã Hội Chủ Nghĩa </w:t>
      </w:r>
      <w:r>
        <w:rPr>
          <w:i/>
          <w:color w:val="000000"/>
        </w:rPr>
        <w:t>Việt Nam;</w:t>
      </w:r>
    </w:p>
    <w:p w14:paraId="67DB52C5" w14:textId="77777777" w:rsidR="008E76CC" w:rsidRDefault="008E76CC">
      <w:pPr>
        <w:numPr>
          <w:ilvl w:val="0"/>
          <w:numId w:val="1"/>
        </w:numPr>
        <w:tabs>
          <w:tab w:val="left" w:pos="720"/>
        </w:tabs>
        <w:autoSpaceDE w:val="0"/>
        <w:autoSpaceDN w:val="0"/>
        <w:adjustRightInd w:val="0"/>
        <w:spacing w:before="120" w:after="120"/>
        <w:jc w:val="both"/>
        <w:rPr>
          <w:i/>
          <w:color w:val="000000"/>
        </w:rPr>
      </w:pPr>
      <w:r>
        <w:rPr>
          <w:i/>
          <w:color w:val="000000"/>
        </w:rPr>
        <w:t xml:space="preserve">Điều lệ Công ty cổ phần </w:t>
      </w:r>
      <w:r w:rsidR="009E41EB">
        <w:rPr>
          <w:i/>
          <w:color w:val="000000"/>
        </w:rPr>
        <w:t>Đầu tư và Phát triển Đa Quốc Gia IDI</w:t>
      </w:r>
      <w:r>
        <w:rPr>
          <w:i/>
          <w:color w:val="000000"/>
        </w:rPr>
        <w:t>.</w:t>
      </w:r>
    </w:p>
    <w:p w14:paraId="6403341E" w14:textId="77777777" w:rsidR="008E76CC" w:rsidRDefault="008E76CC">
      <w:pPr>
        <w:rPr>
          <w:color w:val="000000"/>
        </w:rPr>
      </w:pPr>
    </w:p>
    <w:p w14:paraId="69F359F5" w14:textId="77777777" w:rsidR="008E76CC" w:rsidRDefault="008E76CC">
      <w:pPr>
        <w:jc w:val="center"/>
        <w:rPr>
          <w:b/>
          <w:color w:val="000000"/>
          <w:sz w:val="28"/>
          <w:szCs w:val="28"/>
        </w:rPr>
      </w:pPr>
      <w:r>
        <w:rPr>
          <w:b/>
          <w:color w:val="000000"/>
          <w:sz w:val="28"/>
          <w:szCs w:val="28"/>
        </w:rPr>
        <w:t>ĐẠI HỘI ĐỒNG CỔ ĐÔNG THƯỜNG NIÊN</w:t>
      </w:r>
    </w:p>
    <w:p w14:paraId="37CEFDE5" w14:textId="77777777" w:rsidR="008E76CC" w:rsidRDefault="008E76CC">
      <w:pPr>
        <w:spacing w:before="60"/>
        <w:jc w:val="center"/>
        <w:rPr>
          <w:b/>
          <w:color w:val="000000"/>
          <w:sz w:val="28"/>
          <w:szCs w:val="28"/>
        </w:rPr>
      </w:pPr>
      <w:r>
        <w:rPr>
          <w:b/>
          <w:color w:val="000000"/>
          <w:sz w:val="28"/>
          <w:szCs w:val="28"/>
        </w:rPr>
        <w:t xml:space="preserve">CÔNG TY CỔ PHẦN </w:t>
      </w:r>
      <w:r w:rsidR="009E41EB">
        <w:rPr>
          <w:b/>
          <w:color w:val="000000"/>
          <w:sz w:val="28"/>
          <w:szCs w:val="28"/>
        </w:rPr>
        <w:t>ĐẦU TƯ VÀ PHÁT TRIỂN ĐA QUỐC GIA IDI</w:t>
      </w:r>
    </w:p>
    <w:p w14:paraId="1AEF17A1" w14:textId="77777777" w:rsidR="008E76CC" w:rsidRDefault="008E76CC">
      <w:pPr>
        <w:jc w:val="center"/>
        <w:rPr>
          <w:color w:val="000000"/>
          <w:sz w:val="30"/>
          <w:szCs w:val="30"/>
        </w:rPr>
      </w:pPr>
    </w:p>
    <w:p w14:paraId="616A425E" w14:textId="77777777" w:rsidR="008E76CC" w:rsidRDefault="008E76CC">
      <w:pPr>
        <w:jc w:val="center"/>
        <w:rPr>
          <w:b/>
          <w:color w:val="000000"/>
          <w:sz w:val="30"/>
          <w:szCs w:val="30"/>
        </w:rPr>
      </w:pPr>
      <w:r>
        <w:rPr>
          <w:b/>
          <w:color w:val="000000"/>
          <w:sz w:val="30"/>
          <w:szCs w:val="30"/>
        </w:rPr>
        <w:t>QUYẾT ĐỊNH</w:t>
      </w:r>
    </w:p>
    <w:p w14:paraId="448109E8" w14:textId="77777777" w:rsidR="008E76CC" w:rsidRDefault="008E76CC">
      <w:pPr>
        <w:rPr>
          <w:color w:val="000000"/>
        </w:rPr>
      </w:pPr>
    </w:p>
    <w:p w14:paraId="2565E97E" w14:textId="77777777" w:rsidR="008E76CC" w:rsidRDefault="008E76CC">
      <w:pPr>
        <w:spacing w:before="120" w:after="120" w:line="312" w:lineRule="auto"/>
        <w:jc w:val="both"/>
        <w:rPr>
          <w:color w:val="000000"/>
        </w:rPr>
      </w:pPr>
      <w:r>
        <w:rPr>
          <w:color w:val="000000"/>
        </w:rPr>
        <w:t xml:space="preserve">Thông qua Thể lệ biểu quyết tại ĐHĐCĐ thường niên của Công ty cổ phần </w:t>
      </w:r>
      <w:r w:rsidR="009E41EB">
        <w:rPr>
          <w:color w:val="000000"/>
        </w:rPr>
        <w:t>Đầu tư và Phát triển Đa Quốc Gia IDI</w:t>
      </w:r>
      <w:r>
        <w:rPr>
          <w:color w:val="000000"/>
        </w:rPr>
        <w:t xml:space="preserve"> như sau:</w:t>
      </w:r>
    </w:p>
    <w:p w14:paraId="51BB42F1"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 xml:space="preserve">Mọi nghị quyết, quyết định của ĐHĐCĐ thường niên của Công ty cổ phần </w:t>
      </w:r>
      <w:r w:rsidR="009E41EB">
        <w:rPr>
          <w:color w:val="000000"/>
        </w:rPr>
        <w:t>Đầu tư và Phát triển Đa Quốc Gia IDI</w:t>
      </w:r>
      <w:r>
        <w:rPr>
          <w:color w:val="000000"/>
        </w:rPr>
        <w:t xml:space="preserve"> như: Đề cử Chủ tịch đoàn, Ban thư ký, Ban kiểm phiếu; thông qua Điều lệ sửa đổi theo Điều lệ mẫu dành cho các công ty niêm yết, tỷ lệ chia cổ tức, phát hành cổ phiếu tăng vốn điều lệ, thông qua thù lao cho Hội đồng quản trị và các Nghị quyết, Quyết định khác của Đại hội đều phải biểu quyết công khai và trực tiếp;</w:t>
      </w:r>
    </w:p>
    <w:p w14:paraId="1803EBEC"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 xml:space="preserve">Các Nghị quyết, Quyết định của Đại hội chỉ có giá trị khi số cổ đông sở hữu và đại diện sở </w:t>
      </w:r>
      <w:r w:rsidRPr="00157DAC">
        <w:t xml:space="preserve">hữu trên 50% tổng số cổ phần biểu quyết của tất cả </w:t>
      </w:r>
      <w:r w:rsidRPr="00B74C56">
        <w:t xml:space="preserve">các </w:t>
      </w:r>
      <w:r w:rsidRPr="00B74C56">
        <w:rPr>
          <w:color w:val="0000FF"/>
        </w:rPr>
        <w:t xml:space="preserve">cổ đông </w:t>
      </w:r>
      <w:r w:rsidRPr="00B74C56">
        <w:rPr>
          <w:b/>
          <w:color w:val="0000FF"/>
        </w:rPr>
        <w:t>dự họp</w:t>
      </w:r>
      <w:r w:rsidRPr="00B74C56">
        <w:rPr>
          <w:color w:val="0000FF"/>
        </w:rPr>
        <w:t xml:space="preserve"> chấp thuận</w:t>
      </w:r>
      <w:r w:rsidRPr="00157DAC">
        <w:t xml:space="preserve">. Riêng việc thay </w:t>
      </w:r>
      <w:r w:rsidRPr="00157DAC">
        <w:rPr>
          <w:rFonts w:hint="eastAsia"/>
        </w:rPr>
        <w:t>đổ</w:t>
      </w:r>
      <w:r w:rsidRPr="00157DAC">
        <w:t>i ng</w:t>
      </w:r>
      <w:r w:rsidRPr="00157DAC">
        <w:rPr>
          <w:rFonts w:hint="eastAsia"/>
        </w:rPr>
        <w:t>à</w:t>
      </w:r>
      <w:r w:rsidRPr="00157DAC">
        <w:t>nh, ngh</w:t>
      </w:r>
      <w:r w:rsidRPr="00157DAC">
        <w:rPr>
          <w:rFonts w:hint="eastAsia"/>
        </w:rPr>
        <w:t>ề</w:t>
      </w:r>
      <w:r w:rsidRPr="00157DAC">
        <w:t xml:space="preserve"> v</w:t>
      </w:r>
      <w:r w:rsidRPr="00157DAC">
        <w:rPr>
          <w:rFonts w:hint="eastAsia"/>
        </w:rPr>
        <w:t>à</w:t>
      </w:r>
      <w:r w:rsidRPr="00157DAC">
        <w:t xml:space="preserve"> l</w:t>
      </w:r>
      <w:r w:rsidRPr="00157DAC">
        <w:rPr>
          <w:rFonts w:hint="eastAsia"/>
        </w:rPr>
        <w:t>ĩ</w:t>
      </w:r>
      <w:r w:rsidRPr="00157DAC">
        <w:t>nh v</w:t>
      </w:r>
      <w:r w:rsidRPr="00157DAC">
        <w:rPr>
          <w:rFonts w:hint="eastAsia"/>
        </w:rPr>
        <w:t>ự</w:t>
      </w:r>
      <w:r w:rsidRPr="00157DAC">
        <w:t>c kinh doanh;</w:t>
      </w:r>
      <w:r w:rsidRPr="00157DAC">
        <w:rPr>
          <w:rFonts w:ascii="TimesNewRomanPSMT" w:eastAsia="TimesNewRomanPSMT" w:cs="TimesNewRomanPSMT"/>
          <w:sz w:val="26"/>
          <w:szCs w:val="26"/>
        </w:rPr>
        <w:t xml:space="preserve"> </w:t>
      </w:r>
      <w:r w:rsidRPr="00157DAC">
        <w:t>sửa</w:t>
      </w:r>
      <w:r>
        <w:rPr>
          <w:color w:val="000000"/>
        </w:rPr>
        <w:t xml:space="preserve"> đổi điều lệ; phát hành thêm cổ phiếu, đầu tư hoặc bán tài sản có giá trị bằng hoặc lớn hơn 35% tổng giá trị tài sản được ghi </w:t>
      </w:r>
      <w:r>
        <w:rPr>
          <w:color w:val="000000"/>
          <w:shd w:val="clear" w:color="auto" w:fill="FFFFFF"/>
        </w:rPr>
        <w:t>trong</w:t>
      </w:r>
      <w:r>
        <w:rPr>
          <w:color w:val="000000"/>
        </w:rPr>
        <w:t> báo cáo tài chính gần nhất của công ty được thông qua khi có số cổ đông đại diện từ 65% trở lên trên tổng số cổ phần có quyền biểu quyết tham dự/hoặc uỷ quyền tham dự tại</w:t>
      </w:r>
      <w:r>
        <w:rPr>
          <w:b/>
          <w:color w:val="000000"/>
        </w:rPr>
        <w:t xml:space="preserve"> </w:t>
      </w:r>
      <w:r>
        <w:rPr>
          <w:color w:val="000000"/>
        </w:rPr>
        <w:t>Đại hội chấp thuận.</w:t>
      </w:r>
    </w:p>
    <w:p w14:paraId="697E8470"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Mỗi cổ đông có số biểu quyết được tính bằng tổng số cổ phần mà người đó sở hữu và đại diện sở hữu;</w:t>
      </w:r>
    </w:p>
    <w:p w14:paraId="35ABB65F"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Thể lệ biểu quyết:</w:t>
      </w:r>
    </w:p>
    <w:p w14:paraId="178033C1"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 xml:space="preserve">Khi đăng ký cổ đông tham dự Đại hội, Công ty sẽ cấp cho mỗi cổ đông hoặc đại diện được ủy quyền có quyền biểu quyết một Phiếu biểu quyết. Trên mỗi Phiếu biểu </w:t>
      </w:r>
      <w:r>
        <w:rPr>
          <w:color w:val="000000"/>
        </w:rPr>
        <w:lastRenderedPageBreak/>
        <w:t>quyết có ghi mã số cổ đông, tên cổ đông và tổng số cổ phần có quyền biểu quyết của cổ đông đó, các nội dung cuộc họp cần biểu quyết;</w:t>
      </w:r>
    </w:p>
    <w:p w14:paraId="2C4E3367"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Cổ đông sẽ thực hiện quyền biểu quyết bằng cách đánh dấu “X” vào từng ô                          “Đồng ý”, “Không đồng ý”, “Không có ý kiến” tương ứng với từng quyết định hoặc từng nghị quyết trên Phiếu biểu quyết;</w:t>
      </w:r>
    </w:p>
    <w:p w14:paraId="4F16CA69"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Việc biểu quyết tại Đại hội được tiến hành bằng cách thu Phiếu biểu quyết. Ban kiểm phiếu sẽ trực tiếp thu lại toàn bộ Phiếu biểu quyết, sau đó kiểm phiếu tập hợp lại từng vấn đề biểu quyết đồng ý, không đồng ý và không có ý kiến;</w:t>
      </w:r>
    </w:p>
    <w:p w14:paraId="38600FBD" w14:textId="77777777" w:rsidR="008E76CC" w:rsidRDefault="008E76CC">
      <w:pPr>
        <w:numPr>
          <w:ilvl w:val="1"/>
          <w:numId w:val="2"/>
        </w:numPr>
        <w:tabs>
          <w:tab w:val="clear" w:pos="1440"/>
          <w:tab w:val="left" w:pos="1199"/>
        </w:tabs>
        <w:spacing w:before="120" w:after="120" w:line="312" w:lineRule="auto"/>
        <w:ind w:left="1199" w:hanging="654"/>
        <w:jc w:val="both"/>
        <w:rPr>
          <w:color w:val="000000"/>
        </w:rPr>
      </w:pPr>
      <w:r>
        <w:rPr>
          <w:color w:val="000000"/>
        </w:rPr>
        <w:t>Kết quả kiểm phiếu được Ban kiểm phiếu hoặc Chủ tọa công bố ngay trước khi bế mạc cuộc họp;</w:t>
      </w:r>
    </w:p>
    <w:p w14:paraId="58488739" w14:textId="77777777" w:rsidR="008E76CC" w:rsidRDefault="008E76CC">
      <w:pPr>
        <w:numPr>
          <w:ilvl w:val="0"/>
          <w:numId w:val="2"/>
        </w:numPr>
        <w:tabs>
          <w:tab w:val="clear" w:pos="720"/>
        </w:tabs>
        <w:spacing w:before="120" w:after="120" w:line="312" w:lineRule="auto"/>
        <w:ind w:left="545" w:hanging="545"/>
        <w:jc w:val="both"/>
        <w:rPr>
          <w:color w:val="000000"/>
        </w:rPr>
      </w:pPr>
      <w:r>
        <w:rPr>
          <w:color w:val="000000"/>
        </w:rPr>
        <w:t>Trong trường hợp có ý kiến thắc mắc về kết quả biểu quyết, Chủ tọa sẽ xem xét và quyết định ngay tại Đại hội.</w:t>
      </w:r>
    </w:p>
    <w:tbl>
      <w:tblPr>
        <w:tblW w:w="0" w:type="auto"/>
        <w:tblInd w:w="0" w:type="dxa"/>
        <w:tblLayout w:type="fixed"/>
        <w:tblLook w:val="0000" w:firstRow="0" w:lastRow="0" w:firstColumn="0" w:lastColumn="0" w:noHBand="0" w:noVBand="0"/>
      </w:tblPr>
      <w:tblGrid>
        <w:gridCol w:w="4785"/>
        <w:gridCol w:w="4786"/>
      </w:tblGrid>
      <w:tr w:rsidR="008E76CC" w14:paraId="0EA9E22B" w14:textId="77777777" w:rsidTr="00F8532C">
        <w:trPr>
          <w:trHeight w:val="2781"/>
        </w:trPr>
        <w:tc>
          <w:tcPr>
            <w:tcW w:w="4785" w:type="dxa"/>
          </w:tcPr>
          <w:p w14:paraId="71786D12" w14:textId="77777777" w:rsidR="008E76CC" w:rsidRDefault="008E76CC">
            <w:pPr>
              <w:jc w:val="center"/>
              <w:rPr>
                <w:b/>
                <w:color w:val="000000"/>
              </w:rPr>
            </w:pPr>
            <w:r>
              <w:rPr>
                <w:color w:val="000000"/>
              </w:rPr>
              <w:tab/>
            </w:r>
          </w:p>
        </w:tc>
        <w:tc>
          <w:tcPr>
            <w:tcW w:w="4786" w:type="dxa"/>
          </w:tcPr>
          <w:p w14:paraId="33FD43CD" w14:textId="77777777" w:rsidR="008E76CC" w:rsidRDefault="008E76CC">
            <w:pPr>
              <w:jc w:val="center"/>
              <w:rPr>
                <w:b/>
                <w:color w:val="000000"/>
              </w:rPr>
            </w:pPr>
            <w:r>
              <w:rPr>
                <w:b/>
                <w:color w:val="000000"/>
              </w:rPr>
              <w:t>CHỦ TỊCH ĐOÀN</w:t>
            </w:r>
          </w:p>
          <w:p w14:paraId="161ED77B" w14:textId="77777777" w:rsidR="006C73E5" w:rsidRDefault="006C73E5">
            <w:pPr>
              <w:jc w:val="center"/>
              <w:rPr>
                <w:b/>
                <w:color w:val="000000"/>
              </w:rPr>
            </w:pPr>
          </w:p>
          <w:p w14:paraId="383D5284" w14:textId="77777777" w:rsidR="006C73E5" w:rsidRDefault="006C73E5">
            <w:pPr>
              <w:jc w:val="center"/>
              <w:rPr>
                <w:b/>
                <w:color w:val="000000"/>
              </w:rPr>
            </w:pPr>
          </w:p>
          <w:p w14:paraId="23935AB6" w14:textId="77777777" w:rsidR="006C73E5" w:rsidRDefault="006C73E5">
            <w:pPr>
              <w:jc w:val="center"/>
              <w:rPr>
                <w:b/>
                <w:color w:val="000000"/>
              </w:rPr>
            </w:pPr>
          </w:p>
          <w:p w14:paraId="670BB9E7" w14:textId="77777777" w:rsidR="006C73E5" w:rsidRDefault="006C73E5">
            <w:pPr>
              <w:jc w:val="center"/>
              <w:rPr>
                <w:b/>
                <w:color w:val="000000"/>
              </w:rPr>
            </w:pPr>
          </w:p>
          <w:p w14:paraId="47E7BF30" w14:textId="77777777" w:rsidR="006C73E5" w:rsidRPr="00D2256B" w:rsidRDefault="006C73E5">
            <w:pPr>
              <w:jc w:val="center"/>
              <w:rPr>
                <w:b/>
                <w:color w:val="0000FF"/>
              </w:rPr>
            </w:pPr>
            <w:r w:rsidRPr="00D2256B">
              <w:rPr>
                <w:b/>
                <w:color w:val="0000FF"/>
              </w:rPr>
              <w:t xml:space="preserve">Lê </w:t>
            </w:r>
            <w:r w:rsidR="009E41EB">
              <w:rPr>
                <w:b/>
                <w:color w:val="0000FF"/>
              </w:rPr>
              <w:t>Thanh Thuấn</w:t>
            </w:r>
          </w:p>
          <w:p w14:paraId="209E8056" w14:textId="77777777" w:rsidR="008E76CC" w:rsidRDefault="008E76CC">
            <w:pPr>
              <w:jc w:val="center"/>
              <w:rPr>
                <w:b/>
                <w:color w:val="000000"/>
              </w:rPr>
            </w:pPr>
          </w:p>
          <w:p w14:paraId="7BAE2C4B" w14:textId="77777777" w:rsidR="008E76CC" w:rsidRDefault="008E76CC">
            <w:pPr>
              <w:jc w:val="center"/>
              <w:rPr>
                <w:b/>
                <w:color w:val="000000"/>
              </w:rPr>
            </w:pPr>
          </w:p>
          <w:p w14:paraId="63E63D45" w14:textId="77777777" w:rsidR="008E76CC" w:rsidRDefault="008E76CC">
            <w:pPr>
              <w:jc w:val="center"/>
              <w:rPr>
                <w:b/>
                <w:color w:val="000000"/>
              </w:rPr>
            </w:pPr>
          </w:p>
          <w:p w14:paraId="12C95C02" w14:textId="77777777" w:rsidR="008E76CC" w:rsidRDefault="008E76CC">
            <w:pPr>
              <w:jc w:val="center"/>
              <w:rPr>
                <w:b/>
                <w:color w:val="000000"/>
              </w:rPr>
            </w:pPr>
          </w:p>
          <w:p w14:paraId="51DB6755" w14:textId="77777777" w:rsidR="008E76CC" w:rsidRDefault="008E76CC">
            <w:pPr>
              <w:jc w:val="center"/>
              <w:rPr>
                <w:b/>
                <w:color w:val="000000"/>
              </w:rPr>
            </w:pPr>
          </w:p>
          <w:p w14:paraId="691800F7" w14:textId="77777777" w:rsidR="008E76CC" w:rsidRDefault="008E76CC">
            <w:pPr>
              <w:jc w:val="center"/>
              <w:rPr>
                <w:b/>
                <w:color w:val="000000"/>
              </w:rPr>
            </w:pPr>
          </w:p>
          <w:p w14:paraId="58EA02CF" w14:textId="77777777" w:rsidR="008E76CC" w:rsidRDefault="008E76CC">
            <w:pPr>
              <w:jc w:val="center"/>
              <w:rPr>
                <w:b/>
                <w:color w:val="000000"/>
              </w:rPr>
            </w:pPr>
          </w:p>
          <w:p w14:paraId="247A9B70" w14:textId="77777777" w:rsidR="008E76CC" w:rsidRDefault="008E76CC">
            <w:pPr>
              <w:jc w:val="center"/>
              <w:rPr>
                <w:b/>
                <w:color w:val="000000"/>
                <w:lang w:val="en-GB"/>
              </w:rPr>
            </w:pPr>
          </w:p>
        </w:tc>
      </w:tr>
    </w:tbl>
    <w:p w14:paraId="2656543A" w14:textId="77777777" w:rsidR="008E76CC" w:rsidRDefault="008E76CC">
      <w:pPr>
        <w:spacing w:before="240"/>
        <w:jc w:val="both"/>
        <w:rPr>
          <w:color w:val="000000"/>
        </w:rPr>
      </w:pPr>
    </w:p>
    <w:sectPr w:rsidR="008E76CC">
      <w:footerReference w:type="even" r:id="rId8"/>
      <w:footerReference w:type="default" r:id="rId9"/>
      <w:pgSz w:w="11907" w:h="16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9F46D" w14:textId="77777777" w:rsidR="00B0000F" w:rsidRDefault="00B0000F">
      <w:r>
        <w:separator/>
      </w:r>
    </w:p>
  </w:endnote>
  <w:endnote w:type="continuationSeparator" w:id="0">
    <w:p w14:paraId="3D69D386" w14:textId="77777777" w:rsidR="00B0000F" w:rsidRDefault="00B0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w:charset w:val="80"/>
    <w:family w:val="auto"/>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1F7E5" w14:textId="77777777" w:rsidR="008E76CC" w:rsidRDefault="008E76CC">
    <w:pPr>
      <w:pStyle w:val="Footer"/>
      <w:framePr w:wrap="around" w:vAnchor="text" w:hAnchor="margin" w:xAlign="center" w:y="1"/>
      <w:rPr>
        <w:rStyle w:val="PageNumber"/>
      </w:rPr>
    </w:pPr>
    <w:r>
      <w:fldChar w:fldCharType="begin"/>
    </w:r>
    <w:r>
      <w:rPr>
        <w:rStyle w:val="PageNumber"/>
      </w:rPr>
      <w:instrText xml:space="preserve">PAGE  </w:instrText>
    </w:r>
    <w:r>
      <w:fldChar w:fldCharType="end"/>
    </w:r>
  </w:p>
  <w:p w14:paraId="395FEAFA" w14:textId="77777777" w:rsidR="008E76CC" w:rsidRDefault="008E7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35DF0" w14:textId="77777777" w:rsidR="008E76CC" w:rsidRDefault="008E76CC">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8B61BF">
      <w:rPr>
        <w:rStyle w:val="PageNumber"/>
        <w:noProof/>
      </w:rPr>
      <w:t>2</w:t>
    </w:r>
    <w:r>
      <w:fldChar w:fldCharType="end"/>
    </w:r>
  </w:p>
  <w:p w14:paraId="3307A724" w14:textId="77777777" w:rsidR="008E76CC" w:rsidRDefault="008E7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52D01" w14:textId="77777777" w:rsidR="00B0000F" w:rsidRDefault="00B0000F">
      <w:r>
        <w:separator/>
      </w:r>
    </w:p>
  </w:footnote>
  <w:footnote w:type="continuationSeparator" w:id="0">
    <w:p w14:paraId="6478B4A6" w14:textId="77777777" w:rsidR="00B0000F" w:rsidRDefault="00B00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763FA"/>
    <w:multiLevelType w:val="multilevel"/>
    <w:tmpl w:val="169763F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69A614D"/>
    <w:multiLevelType w:val="multilevel"/>
    <w:tmpl w:val="369A614D"/>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41123683">
    <w:abstractNumId w:val="1"/>
  </w:num>
  <w:num w:numId="2" w16cid:durableId="1497066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6E2"/>
    <w:rsid w:val="00011BF3"/>
    <w:rsid w:val="000323AE"/>
    <w:rsid w:val="00044D82"/>
    <w:rsid w:val="000649F4"/>
    <w:rsid w:val="00094F76"/>
    <w:rsid w:val="000B79E9"/>
    <w:rsid w:val="000C140B"/>
    <w:rsid w:val="000D1531"/>
    <w:rsid w:val="000D2DA5"/>
    <w:rsid w:val="000F2B1D"/>
    <w:rsid w:val="00105509"/>
    <w:rsid w:val="001116F0"/>
    <w:rsid w:val="00120DAE"/>
    <w:rsid w:val="00130530"/>
    <w:rsid w:val="00140AB8"/>
    <w:rsid w:val="00144C95"/>
    <w:rsid w:val="00152951"/>
    <w:rsid w:val="001547E7"/>
    <w:rsid w:val="0015763A"/>
    <w:rsid w:val="00157CA0"/>
    <w:rsid w:val="00157DAC"/>
    <w:rsid w:val="00170A15"/>
    <w:rsid w:val="00174939"/>
    <w:rsid w:val="00182FEC"/>
    <w:rsid w:val="0018579F"/>
    <w:rsid w:val="00187DF1"/>
    <w:rsid w:val="001911BA"/>
    <w:rsid w:val="0019668E"/>
    <w:rsid w:val="001B105E"/>
    <w:rsid w:val="001D52E4"/>
    <w:rsid w:val="001D72F6"/>
    <w:rsid w:val="002066E5"/>
    <w:rsid w:val="002250E7"/>
    <w:rsid w:val="00233DEA"/>
    <w:rsid w:val="00234F33"/>
    <w:rsid w:val="0025527E"/>
    <w:rsid w:val="00262029"/>
    <w:rsid w:val="0026794F"/>
    <w:rsid w:val="00271B47"/>
    <w:rsid w:val="0027580C"/>
    <w:rsid w:val="002A3513"/>
    <w:rsid w:val="002A5738"/>
    <w:rsid w:val="002B07F1"/>
    <w:rsid w:val="002B3C3E"/>
    <w:rsid w:val="002F7347"/>
    <w:rsid w:val="00301193"/>
    <w:rsid w:val="003168B6"/>
    <w:rsid w:val="0031720C"/>
    <w:rsid w:val="00323BB6"/>
    <w:rsid w:val="003336F1"/>
    <w:rsid w:val="00335B8D"/>
    <w:rsid w:val="0035312C"/>
    <w:rsid w:val="00392F64"/>
    <w:rsid w:val="003B4953"/>
    <w:rsid w:val="003B4990"/>
    <w:rsid w:val="003C22F0"/>
    <w:rsid w:val="003C623F"/>
    <w:rsid w:val="003D1D50"/>
    <w:rsid w:val="003D1F9F"/>
    <w:rsid w:val="003E22CC"/>
    <w:rsid w:val="004016FD"/>
    <w:rsid w:val="00401ABF"/>
    <w:rsid w:val="004426AA"/>
    <w:rsid w:val="0044431F"/>
    <w:rsid w:val="00450314"/>
    <w:rsid w:val="004556F7"/>
    <w:rsid w:val="00497941"/>
    <w:rsid w:val="004B127B"/>
    <w:rsid w:val="004C2D46"/>
    <w:rsid w:val="004C6ED8"/>
    <w:rsid w:val="004D0F3A"/>
    <w:rsid w:val="004E649D"/>
    <w:rsid w:val="00511CAE"/>
    <w:rsid w:val="005263EE"/>
    <w:rsid w:val="00530D07"/>
    <w:rsid w:val="0053290A"/>
    <w:rsid w:val="0056139A"/>
    <w:rsid w:val="00581785"/>
    <w:rsid w:val="00596E47"/>
    <w:rsid w:val="005A3516"/>
    <w:rsid w:val="005B134E"/>
    <w:rsid w:val="005C5C26"/>
    <w:rsid w:val="005C7405"/>
    <w:rsid w:val="005E1FA9"/>
    <w:rsid w:val="005E2DA4"/>
    <w:rsid w:val="006121E5"/>
    <w:rsid w:val="00612FF2"/>
    <w:rsid w:val="00627E01"/>
    <w:rsid w:val="00630077"/>
    <w:rsid w:val="0063345E"/>
    <w:rsid w:val="00656503"/>
    <w:rsid w:val="00691F68"/>
    <w:rsid w:val="006A1D51"/>
    <w:rsid w:val="006C4EF0"/>
    <w:rsid w:val="006C73E5"/>
    <w:rsid w:val="006D0EC0"/>
    <w:rsid w:val="006E238F"/>
    <w:rsid w:val="006E3869"/>
    <w:rsid w:val="00724E15"/>
    <w:rsid w:val="00724F18"/>
    <w:rsid w:val="00740A3B"/>
    <w:rsid w:val="00747CCA"/>
    <w:rsid w:val="007701D6"/>
    <w:rsid w:val="007E68B4"/>
    <w:rsid w:val="007F0AB8"/>
    <w:rsid w:val="00807246"/>
    <w:rsid w:val="00836F64"/>
    <w:rsid w:val="00856B9A"/>
    <w:rsid w:val="00880EE2"/>
    <w:rsid w:val="008959A9"/>
    <w:rsid w:val="008B31E4"/>
    <w:rsid w:val="008B61BF"/>
    <w:rsid w:val="008C70E5"/>
    <w:rsid w:val="008E76CC"/>
    <w:rsid w:val="00901EAC"/>
    <w:rsid w:val="009072A2"/>
    <w:rsid w:val="00915353"/>
    <w:rsid w:val="00931F01"/>
    <w:rsid w:val="00954440"/>
    <w:rsid w:val="00955C9D"/>
    <w:rsid w:val="00972F5B"/>
    <w:rsid w:val="00983D9A"/>
    <w:rsid w:val="00987D1C"/>
    <w:rsid w:val="00990079"/>
    <w:rsid w:val="009972E3"/>
    <w:rsid w:val="009A3154"/>
    <w:rsid w:val="009B1F30"/>
    <w:rsid w:val="009B4F59"/>
    <w:rsid w:val="009B66AB"/>
    <w:rsid w:val="009C4589"/>
    <w:rsid w:val="009C523F"/>
    <w:rsid w:val="009D093E"/>
    <w:rsid w:val="009E1670"/>
    <w:rsid w:val="009E19F2"/>
    <w:rsid w:val="009E41EB"/>
    <w:rsid w:val="009F247D"/>
    <w:rsid w:val="009F4B0B"/>
    <w:rsid w:val="00A210DA"/>
    <w:rsid w:val="00A52008"/>
    <w:rsid w:val="00A83AC2"/>
    <w:rsid w:val="00A87B9A"/>
    <w:rsid w:val="00A95822"/>
    <w:rsid w:val="00AA375D"/>
    <w:rsid w:val="00AB0908"/>
    <w:rsid w:val="00AB2199"/>
    <w:rsid w:val="00AB4160"/>
    <w:rsid w:val="00AB79D3"/>
    <w:rsid w:val="00AC426D"/>
    <w:rsid w:val="00B0000F"/>
    <w:rsid w:val="00B31FF3"/>
    <w:rsid w:val="00B32822"/>
    <w:rsid w:val="00B41F86"/>
    <w:rsid w:val="00B4607A"/>
    <w:rsid w:val="00B51432"/>
    <w:rsid w:val="00B74C56"/>
    <w:rsid w:val="00BA74EA"/>
    <w:rsid w:val="00BB4033"/>
    <w:rsid w:val="00BD035F"/>
    <w:rsid w:val="00BD2008"/>
    <w:rsid w:val="00BE2AE2"/>
    <w:rsid w:val="00C25413"/>
    <w:rsid w:val="00C350D5"/>
    <w:rsid w:val="00C72F9B"/>
    <w:rsid w:val="00C772F0"/>
    <w:rsid w:val="00C80C71"/>
    <w:rsid w:val="00CD6D3C"/>
    <w:rsid w:val="00CE21CF"/>
    <w:rsid w:val="00D10EA9"/>
    <w:rsid w:val="00D2256B"/>
    <w:rsid w:val="00D611F4"/>
    <w:rsid w:val="00D72010"/>
    <w:rsid w:val="00D83ED7"/>
    <w:rsid w:val="00D95CFF"/>
    <w:rsid w:val="00DB572D"/>
    <w:rsid w:val="00DC7854"/>
    <w:rsid w:val="00DD0E94"/>
    <w:rsid w:val="00DE7FEC"/>
    <w:rsid w:val="00DF64B1"/>
    <w:rsid w:val="00E01E8B"/>
    <w:rsid w:val="00E77D8B"/>
    <w:rsid w:val="00E81C92"/>
    <w:rsid w:val="00E8441C"/>
    <w:rsid w:val="00ED5834"/>
    <w:rsid w:val="00EF6869"/>
    <w:rsid w:val="00F06126"/>
    <w:rsid w:val="00F41459"/>
    <w:rsid w:val="00F4776D"/>
    <w:rsid w:val="00F47F7F"/>
    <w:rsid w:val="00F56F59"/>
    <w:rsid w:val="00F71AB7"/>
    <w:rsid w:val="00F766E2"/>
    <w:rsid w:val="00F82185"/>
    <w:rsid w:val="00F8532C"/>
    <w:rsid w:val="00FA2B6D"/>
    <w:rsid w:val="00FB2A6B"/>
    <w:rsid w:val="00FB387E"/>
    <w:rsid w:val="00FC740D"/>
    <w:rsid w:val="00FD73AA"/>
    <w:rsid w:val="2532210C"/>
    <w:rsid w:val="4C9A3C2B"/>
    <w:rsid w:val="4CF1068A"/>
    <w:rsid w:val="564B3FEA"/>
    <w:rsid w:val="62B7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000001">
      <v:fill color="white"/>
      <v:stroke color="#000001"/>
    </o:shapedefaults>
    <o:shapelayout v:ext="edit">
      <o:idmap v:ext="edit" data="1"/>
    </o:shapelayout>
  </w:shapeDefaults>
  <w:decimalSymbol w:val=","/>
  <w:listSeparator w:val=","/>
  <w14:docId w14:val="579B7EBA"/>
  <w15:chartTrackingRefBased/>
  <w15:docId w15:val="{F2D63654-B605-4C17-AA88-A0D7BC55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character" w:styleId="PageNumber">
    <w:name w:val="page numbe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Le Van Phuong</cp:lastModifiedBy>
  <cp:revision>2</cp:revision>
  <cp:lastPrinted>2025-03-21T02:34:00Z</cp:lastPrinted>
  <dcterms:created xsi:type="dcterms:W3CDTF">2025-03-23T03:34:00Z</dcterms:created>
  <dcterms:modified xsi:type="dcterms:W3CDTF">2025-03-23T03:34:00Z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95EC920BD2CE4C99891A03AFCEC5AF21</vt:lpwstr>
  </property>
</Properties>
</file>