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612" w:type="dxa"/>
        <w:tblLayout w:type="fixed"/>
        <w:tblLook w:val="0000" w:firstRow="0" w:lastRow="0" w:firstColumn="0" w:lastColumn="0" w:noHBand="0" w:noVBand="0"/>
      </w:tblPr>
      <w:tblGrid>
        <w:gridCol w:w="4973"/>
        <w:gridCol w:w="5103"/>
      </w:tblGrid>
      <w:tr w:rsidR="00AF648A" w:rsidRPr="00FD6CD4" w14:paraId="5C0D1E51" w14:textId="77777777" w:rsidTr="009465C1">
        <w:trPr>
          <w:trHeight w:val="863"/>
        </w:trPr>
        <w:tc>
          <w:tcPr>
            <w:tcW w:w="4973" w:type="dxa"/>
          </w:tcPr>
          <w:p w14:paraId="38D019D1" w14:textId="77777777" w:rsidR="00AF648A" w:rsidRPr="00214733" w:rsidRDefault="00AF648A" w:rsidP="009465C1">
            <w:pPr>
              <w:tabs>
                <w:tab w:val="center" w:pos="2700"/>
              </w:tabs>
              <w:spacing w:line="288" w:lineRule="auto"/>
              <w:ind w:left="-57" w:right="-57" w:hanging="91"/>
              <w:jc w:val="center"/>
              <w:rPr>
                <w:b/>
              </w:rPr>
            </w:pPr>
            <w:r>
              <w:rPr>
                <w:b/>
              </w:rPr>
              <w:t>I.D.I INTERNATIONAL DEVELOPMENT AND INVESTMENT CORPORATION</w:t>
            </w:r>
          </w:p>
          <w:p w14:paraId="227B41E4" w14:textId="77777777" w:rsidR="00AF648A" w:rsidRPr="00FD6CD4" w:rsidRDefault="00AF648A" w:rsidP="009465C1">
            <w:pPr>
              <w:ind w:left="-90"/>
              <w:rPr>
                <w:color w:val="000000"/>
                <w:lang w:val="en-US" w:eastAsia="zh-CN"/>
              </w:rPr>
            </w:pPr>
            <w:r>
              <w:rPr>
                <w:b/>
                <w:noProof/>
                <w:color w:val="000000"/>
              </w:rPr>
              <w:drawing>
                <wp:anchor distT="0" distB="0" distL="114300" distR="114300" simplePos="0" relativeHeight="251660288" behindDoc="0" locked="0" layoutInCell="1" allowOverlap="1" wp14:anchorId="7E50FF6F" wp14:editId="046448C1">
                  <wp:simplePos x="0" y="0"/>
                  <wp:positionH relativeFrom="column">
                    <wp:posOffset>1050290</wp:posOffset>
                  </wp:positionH>
                  <wp:positionV relativeFrom="paragraph">
                    <wp:posOffset>29210</wp:posOffset>
                  </wp:positionV>
                  <wp:extent cx="900430" cy="531495"/>
                  <wp:effectExtent l="0" t="0" r="0" b="0"/>
                  <wp:wrapNone/>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00430" cy="531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9B8EEF" w14:textId="77777777" w:rsidR="00AF648A" w:rsidRPr="00FD6CD4" w:rsidRDefault="00AF648A" w:rsidP="009465C1">
            <w:pPr>
              <w:tabs>
                <w:tab w:val="center" w:pos="2305"/>
              </w:tabs>
              <w:ind w:left="-90"/>
              <w:rPr>
                <w:color w:val="000000"/>
                <w:lang w:val="en-US" w:eastAsia="zh-CN"/>
              </w:rPr>
            </w:pPr>
          </w:p>
          <w:p w14:paraId="03C74F21" w14:textId="77777777" w:rsidR="00AF648A" w:rsidRPr="00FD6CD4" w:rsidRDefault="00AF648A" w:rsidP="009465C1">
            <w:pPr>
              <w:tabs>
                <w:tab w:val="center" w:pos="2305"/>
              </w:tabs>
              <w:ind w:left="-90"/>
              <w:rPr>
                <w:color w:val="000000"/>
                <w:lang w:val="en-US" w:eastAsia="zh-CN"/>
              </w:rPr>
            </w:pPr>
            <w:r w:rsidRPr="00FD6CD4">
              <w:rPr>
                <w:color w:val="000000"/>
                <w:lang w:val="en-US" w:eastAsia="zh-CN"/>
              </w:rPr>
              <w:tab/>
            </w:r>
          </w:p>
          <w:p w14:paraId="10335279" w14:textId="4248279C" w:rsidR="00AF648A" w:rsidRPr="00FD6CD4" w:rsidRDefault="00AF648A" w:rsidP="009465C1">
            <w:pPr>
              <w:spacing w:before="120"/>
              <w:ind w:left="-90" w:right="34"/>
              <w:jc w:val="center"/>
              <w:rPr>
                <w:color w:val="000000"/>
              </w:rPr>
            </w:pPr>
            <w:r w:rsidRPr="00FD6CD4">
              <w:rPr>
                <w:color w:val="000000"/>
              </w:rPr>
              <w:t>Number: 0</w:t>
            </w:r>
            <w:r>
              <w:rPr>
                <w:color w:val="000000"/>
              </w:rPr>
              <w:t>424</w:t>
            </w:r>
            <w:r w:rsidRPr="00FD6CD4">
              <w:rPr>
                <w:color w:val="000000"/>
              </w:rPr>
              <w:t>/</w:t>
            </w:r>
            <w:r>
              <w:rPr>
                <w:color w:val="000000"/>
              </w:rPr>
              <w:t>/2025/BC-</w:t>
            </w:r>
            <w:r>
              <w:rPr>
                <w:color w:val="000000"/>
              </w:rPr>
              <w:t>BKS</w:t>
            </w:r>
          </w:p>
        </w:tc>
        <w:tc>
          <w:tcPr>
            <w:tcW w:w="5103" w:type="dxa"/>
          </w:tcPr>
          <w:p w14:paraId="1BEFA940" w14:textId="77777777" w:rsidR="00AF648A" w:rsidRPr="00FD6CD4" w:rsidRDefault="00AF648A" w:rsidP="009465C1">
            <w:pPr>
              <w:spacing w:line="288" w:lineRule="auto"/>
              <w:ind w:left="-108" w:right="-164"/>
              <w:jc w:val="center"/>
              <w:rPr>
                <w:b/>
                <w:color w:val="000000"/>
              </w:rPr>
            </w:pPr>
            <w:r w:rsidRPr="00FD6CD4">
              <w:rPr>
                <w:b/>
                <w:color w:val="000000"/>
              </w:rPr>
              <w:t>SOCIALIST REPUBLIC OF VIETNAM</w:t>
            </w:r>
          </w:p>
          <w:p w14:paraId="543CC60E" w14:textId="77777777" w:rsidR="00AF648A" w:rsidRPr="00FD6CD4" w:rsidRDefault="00AF648A" w:rsidP="009465C1">
            <w:pPr>
              <w:jc w:val="center"/>
              <w:rPr>
                <w:b/>
                <w:color w:val="000000"/>
              </w:rPr>
            </w:pPr>
            <w:r w:rsidRPr="00FD6CD4">
              <w:rPr>
                <w:b/>
                <w:color w:val="000000"/>
              </w:rPr>
              <w:t>Independence – Freedom – Happiness</w:t>
            </w:r>
          </w:p>
          <w:p w14:paraId="3A86DDB4" w14:textId="77777777" w:rsidR="00AF648A" w:rsidRPr="00FD6CD4" w:rsidRDefault="00AF648A" w:rsidP="009465C1">
            <w:pPr>
              <w:jc w:val="center"/>
              <w:rPr>
                <w:b/>
                <w:color w:val="000000"/>
              </w:rPr>
            </w:pPr>
            <w:r w:rsidRPr="00FD6CD4">
              <w:rPr>
                <w:b/>
                <w:noProof/>
                <w:color w:val="000000"/>
                <w:lang w:val="en-US" w:eastAsia="zh-CN"/>
              </w:rPr>
              <mc:AlternateContent>
                <mc:Choice Requires="wps">
                  <w:drawing>
                    <wp:anchor distT="0" distB="0" distL="114300" distR="114300" simplePos="0" relativeHeight="251659264" behindDoc="0" locked="0" layoutInCell="1" allowOverlap="1" wp14:anchorId="1647B84E" wp14:editId="587657E9">
                      <wp:simplePos x="0" y="0"/>
                      <wp:positionH relativeFrom="column">
                        <wp:posOffset>600075</wp:posOffset>
                      </wp:positionH>
                      <wp:positionV relativeFrom="paragraph">
                        <wp:posOffset>63500</wp:posOffset>
                      </wp:positionV>
                      <wp:extent cx="1936750" cy="0"/>
                      <wp:effectExtent l="6350" t="13335" r="9525" b="5715"/>
                      <wp:wrapNone/>
                      <wp:docPr id="169763241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6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03B232" id="_x0000_t32" coordsize="21600,21600" o:spt="32" o:oned="t" path="m,l21600,21600e" filled="f">
                      <v:path arrowok="t" fillok="f" o:connecttype="none"/>
                      <o:lock v:ext="edit" shapetype="t"/>
                    </v:shapetype>
                    <v:shape id="AutoShape 3" o:spid="_x0000_s1026" type="#_x0000_t32" style="position:absolute;margin-left:47.25pt;margin-top:5pt;width:15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"/>
                  </w:pict>
                </mc:Fallback>
              </mc:AlternateContent>
            </w:r>
          </w:p>
          <w:p w14:paraId="62F41B54" w14:textId="77777777" w:rsidR="00AF648A" w:rsidRPr="00FD6CD4" w:rsidRDefault="00AF648A" w:rsidP="009465C1">
            <w:pPr>
              <w:jc w:val="center"/>
              <w:rPr>
                <w:b/>
                <w:color w:val="000000"/>
              </w:rPr>
            </w:pPr>
          </w:p>
          <w:p w14:paraId="49C956A8" w14:textId="77777777" w:rsidR="00AF648A" w:rsidRDefault="00AF648A" w:rsidP="009465C1">
            <w:pPr>
              <w:jc w:val="right"/>
              <w:rPr>
                <w:i/>
                <w:color w:val="000000"/>
              </w:rPr>
            </w:pPr>
          </w:p>
          <w:p w14:paraId="4C0E4F82" w14:textId="77777777" w:rsidR="00AF648A" w:rsidRPr="00FD6CD4" w:rsidRDefault="00AF648A" w:rsidP="009465C1">
            <w:pPr>
              <w:spacing w:before="120"/>
              <w:jc w:val="right"/>
              <w:rPr>
                <w:color w:val="000000"/>
              </w:rPr>
            </w:pPr>
            <w:r>
              <w:rPr>
                <w:i/>
                <w:color w:val="000000"/>
              </w:rPr>
              <w:t xml:space="preserve">Thanh Hoa, April 24th, </w:t>
            </w:r>
            <w:r w:rsidRPr="00FD6CD4">
              <w:rPr>
                <w:i/>
                <w:color w:val="000000"/>
                <w:lang w:val="en-GB"/>
              </w:rPr>
              <w:t>2025</w:t>
            </w:r>
          </w:p>
        </w:tc>
      </w:tr>
    </w:tbl>
    <w:p w14:paraId="45AC6D1B" w14:textId="77777777" w:rsidR="004E735B" w:rsidRDefault="004E735B"/>
    <w:p w14:paraId="131AAB94" w14:textId="22205AC0" w:rsidR="00AF648A" w:rsidRPr="00AF648A" w:rsidRDefault="00AF648A" w:rsidP="00536EDA">
      <w:pPr>
        <w:spacing w:after="240"/>
        <w:jc w:val="center"/>
        <w:rPr>
          <w:sz w:val="32"/>
          <w:szCs w:val="32"/>
          <w:lang w:val="en-US"/>
        </w:rPr>
      </w:pPr>
      <w:r w:rsidRPr="00AF648A">
        <w:rPr>
          <w:b/>
          <w:bCs/>
          <w:sz w:val="32"/>
          <w:szCs w:val="32"/>
          <w:lang w:val="en-US"/>
        </w:rPr>
        <w:t>REPORT</w:t>
      </w:r>
      <w:r w:rsidRPr="00536EDA">
        <w:rPr>
          <w:b/>
          <w:bCs/>
          <w:sz w:val="32"/>
          <w:szCs w:val="32"/>
          <w:lang w:val="en-US"/>
        </w:rPr>
        <w:t xml:space="preserve"> </w:t>
      </w:r>
      <w:r w:rsidRPr="00AF648A">
        <w:rPr>
          <w:b/>
          <w:bCs/>
          <w:sz w:val="32"/>
          <w:szCs w:val="32"/>
          <w:lang w:val="en-US"/>
        </w:rPr>
        <w:t>SUPERVISORY BOARD ACTIVITIES REPORT FOR THE YEAR 2024</w:t>
      </w:r>
      <w:r w:rsidR="00536EDA">
        <w:rPr>
          <w:b/>
          <w:bCs/>
          <w:sz w:val="32"/>
          <w:szCs w:val="32"/>
          <w:lang w:val="en-US"/>
        </w:rPr>
        <w:t xml:space="preserve"> </w:t>
      </w:r>
      <w:r w:rsidRPr="00AF648A">
        <w:rPr>
          <w:b/>
          <w:bCs/>
          <w:sz w:val="32"/>
          <w:szCs w:val="32"/>
          <w:lang w:val="en-US"/>
        </w:rPr>
        <w:t>AND DIRECTION FOR THE YEAR 2025</w:t>
      </w:r>
    </w:p>
    <w:p w14:paraId="0134FD40" w14:textId="77777777" w:rsidR="00AF648A" w:rsidRPr="00AF648A" w:rsidRDefault="00AF648A" w:rsidP="00536EDA">
      <w:pPr>
        <w:numPr>
          <w:ilvl w:val="0"/>
          <w:numId w:val="7"/>
        </w:numPr>
        <w:spacing w:before="120" w:after="120"/>
        <w:jc w:val="both"/>
        <w:rPr>
          <w:lang w:val="en-US"/>
        </w:rPr>
      </w:pPr>
      <w:r w:rsidRPr="00AF648A">
        <w:rPr>
          <w:lang w:val="en-US"/>
        </w:rPr>
        <w:t>Based on the functions and duties of the Supervisory Board as prescribed by the Enterprise Law and the Charter of I.D.I International Investment and Development Joint Stock Company.</w:t>
      </w:r>
    </w:p>
    <w:p w14:paraId="68E4215E" w14:textId="77777777" w:rsidR="00AF648A" w:rsidRPr="00AF648A" w:rsidRDefault="00AF648A" w:rsidP="00536EDA">
      <w:pPr>
        <w:numPr>
          <w:ilvl w:val="0"/>
          <w:numId w:val="7"/>
        </w:numPr>
        <w:spacing w:before="120" w:after="120"/>
        <w:jc w:val="both"/>
        <w:rPr>
          <w:lang w:val="en-US"/>
        </w:rPr>
      </w:pPr>
      <w:r w:rsidRPr="00AF648A">
        <w:rPr>
          <w:lang w:val="en-US"/>
        </w:rPr>
        <w:t>Based on the audit report from the Southern Financial, Accounting, and Auditing Consulting Services Co., Ltd. (AASCS), the company’s operations, reports, and records for the year 2024.</w:t>
      </w:r>
    </w:p>
    <w:p w14:paraId="12E0F7EE" w14:textId="77777777" w:rsidR="00AF648A" w:rsidRPr="00AF648A" w:rsidRDefault="00AF648A" w:rsidP="00536EDA">
      <w:pPr>
        <w:spacing w:before="120" w:after="120"/>
        <w:jc w:val="both"/>
        <w:rPr>
          <w:lang w:val="en-US"/>
        </w:rPr>
      </w:pPr>
      <w:r w:rsidRPr="00AF648A">
        <w:rPr>
          <w:lang w:val="en-US"/>
        </w:rPr>
        <w:t>The Supervisory Board of I.D.I International Investment and Development Joint Stock Company has carried out control over the company's activities for the fiscal year ending December 31, 2024, with the following specific details:</w:t>
      </w:r>
    </w:p>
    <w:p w14:paraId="5B94302A" w14:textId="77777777" w:rsidR="00AF648A" w:rsidRPr="00AF648A" w:rsidRDefault="00AF648A" w:rsidP="00536EDA">
      <w:pPr>
        <w:spacing w:before="120" w:after="120"/>
        <w:jc w:val="both"/>
        <w:rPr>
          <w:b/>
          <w:bCs/>
          <w:lang w:val="en-US"/>
        </w:rPr>
      </w:pPr>
      <w:r w:rsidRPr="00AF648A">
        <w:rPr>
          <w:b/>
          <w:bCs/>
          <w:lang w:val="en-US"/>
        </w:rPr>
        <w:t>1. Structure of the Supervisory Board</w:t>
      </w:r>
    </w:p>
    <w:p w14:paraId="5F0898C4" w14:textId="77777777" w:rsidR="00AF648A" w:rsidRPr="00AF648A" w:rsidRDefault="00AF648A" w:rsidP="00536EDA">
      <w:pPr>
        <w:spacing w:before="120" w:after="120"/>
        <w:jc w:val="both"/>
        <w:rPr>
          <w:lang w:val="en-US"/>
        </w:rPr>
      </w:pPr>
      <w:r w:rsidRPr="00AF648A">
        <w:rPr>
          <w:lang w:val="en-US"/>
        </w:rPr>
        <w:t>In compliance with Article 137 of the 2020 Enterprise Law regarding corporate governance models, on April 22, 2024, the Annual General Meeting of Shareholders for 2024 approved the election of the Supervisory Board for the 2024-2029 term. The current Supervisory Board of I.D.I International Investment and Development Joint Stock Company includes: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96"/>
        <w:gridCol w:w="3686"/>
        <w:gridCol w:w="3969"/>
      </w:tblGrid>
      <w:tr w:rsidR="00AF648A" w:rsidRPr="00AF648A" w14:paraId="76BC5030" w14:textId="77777777" w:rsidTr="00536EDA">
        <w:trPr>
          <w:tblHeader/>
        </w:trPr>
        <w:tc>
          <w:tcPr>
            <w:tcW w:w="1696" w:type="dxa"/>
            <w:vAlign w:val="center"/>
            <w:hideMark/>
          </w:tcPr>
          <w:p w14:paraId="67D98B6A" w14:textId="77777777" w:rsidR="00AF648A" w:rsidRPr="00AF648A" w:rsidRDefault="00AF648A" w:rsidP="00536EDA">
            <w:pPr>
              <w:spacing w:before="120" w:after="120"/>
              <w:jc w:val="center"/>
              <w:rPr>
                <w:b/>
                <w:bCs/>
                <w:lang w:val="en-US"/>
              </w:rPr>
            </w:pPr>
            <w:r w:rsidRPr="00AF648A">
              <w:rPr>
                <w:b/>
                <w:bCs/>
                <w:lang w:val="en-US"/>
              </w:rPr>
              <w:t>No.</w:t>
            </w:r>
          </w:p>
        </w:tc>
        <w:tc>
          <w:tcPr>
            <w:tcW w:w="3686" w:type="dxa"/>
            <w:vAlign w:val="center"/>
            <w:hideMark/>
          </w:tcPr>
          <w:p w14:paraId="1FC65726" w14:textId="77777777" w:rsidR="00AF648A" w:rsidRPr="00AF648A" w:rsidRDefault="00AF648A" w:rsidP="00536EDA">
            <w:pPr>
              <w:spacing w:before="120" w:after="120"/>
              <w:jc w:val="center"/>
              <w:rPr>
                <w:b/>
                <w:bCs/>
                <w:lang w:val="en-US"/>
              </w:rPr>
            </w:pPr>
            <w:r w:rsidRPr="00AF648A">
              <w:rPr>
                <w:b/>
                <w:bCs/>
                <w:lang w:val="en-US"/>
              </w:rPr>
              <w:t>Full Name</w:t>
            </w:r>
          </w:p>
        </w:tc>
        <w:tc>
          <w:tcPr>
            <w:tcW w:w="3969" w:type="dxa"/>
            <w:vAlign w:val="center"/>
            <w:hideMark/>
          </w:tcPr>
          <w:p w14:paraId="170A0707" w14:textId="77777777" w:rsidR="00AF648A" w:rsidRPr="00AF648A" w:rsidRDefault="00AF648A" w:rsidP="00536EDA">
            <w:pPr>
              <w:spacing w:before="120" w:after="120"/>
              <w:jc w:val="center"/>
              <w:rPr>
                <w:b/>
                <w:bCs/>
                <w:lang w:val="en-US"/>
              </w:rPr>
            </w:pPr>
            <w:r w:rsidRPr="00AF648A">
              <w:rPr>
                <w:b/>
                <w:bCs/>
                <w:lang w:val="en-US"/>
              </w:rPr>
              <w:t>Position Nominated</w:t>
            </w:r>
          </w:p>
        </w:tc>
      </w:tr>
      <w:tr w:rsidR="00AF648A" w:rsidRPr="00AF648A" w14:paraId="64FD0721" w14:textId="77777777" w:rsidTr="00536EDA">
        <w:tc>
          <w:tcPr>
            <w:tcW w:w="1696" w:type="dxa"/>
            <w:vAlign w:val="center"/>
            <w:hideMark/>
          </w:tcPr>
          <w:p w14:paraId="315D2791" w14:textId="77777777" w:rsidR="00AF648A" w:rsidRPr="00AF648A" w:rsidRDefault="00AF648A" w:rsidP="00536EDA">
            <w:pPr>
              <w:spacing w:before="120" w:after="120"/>
              <w:jc w:val="center"/>
              <w:rPr>
                <w:lang w:val="en-US"/>
              </w:rPr>
            </w:pPr>
            <w:r w:rsidRPr="00AF648A">
              <w:rPr>
                <w:lang w:val="en-US"/>
              </w:rPr>
              <w:t>1</w:t>
            </w:r>
          </w:p>
        </w:tc>
        <w:tc>
          <w:tcPr>
            <w:tcW w:w="3686" w:type="dxa"/>
            <w:vAlign w:val="center"/>
            <w:hideMark/>
          </w:tcPr>
          <w:p w14:paraId="5DC3AF54" w14:textId="77777777" w:rsidR="00AF648A" w:rsidRPr="00AF648A" w:rsidRDefault="00AF648A" w:rsidP="00536EDA">
            <w:pPr>
              <w:spacing w:before="120" w:after="120"/>
              <w:ind w:left="57" w:right="57"/>
              <w:jc w:val="both"/>
              <w:rPr>
                <w:lang w:val="en-US"/>
              </w:rPr>
            </w:pPr>
            <w:r w:rsidRPr="00AF648A">
              <w:rPr>
                <w:lang w:val="en-US"/>
              </w:rPr>
              <w:t>Mr. Tu Thien Thoai</w:t>
            </w:r>
          </w:p>
        </w:tc>
        <w:tc>
          <w:tcPr>
            <w:tcW w:w="3969" w:type="dxa"/>
            <w:vAlign w:val="center"/>
            <w:hideMark/>
          </w:tcPr>
          <w:p w14:paraId="372A188F" w14:textId="77777777" w:rsidR="00AF648A" w:rsidRPr="00AF648A" w:rsidRDefault="00AF648A" w:rsidP="00536EDA">
            <w:pPr>
              <w:spacing w:before="120" w:after="120"/>
              <w:ind w:left="57" w:right="57"/>
              <w:jc w:val="both"/>
              <w:rPr>
                <w:lang w:val="en-US"/>
              </w:rPr>
            </w:pPr>
            <w:r w:rsidRPr="00AF648A">
              <w:rPr>
                <w:lang w:val="en-US"/>
              </w:rPr>
              <w:t>Head of Supervisory Board</w:t>
            </w:r>
          </w:p>
        </w:tc>
      </w:tr>
      <w:tr w:rsidR="00AF648A" w:rsidRPr="00AF648A" w14:paraId="359DDAC6" w14:textId="77777777" w:rsidTr="00536EDA">
        <w:tc>
          <w:tcPr>
            <w:tcW w:w="1696" w:type="dxa"/>
            <w:vAlign w:val="center"/>
            <w:hideMark/>
          </w:tcPr>
          <w:p w14:paraId="5A076D61" w14:textId="77777777" w:rsidR="00AF648A" w:rsidRPr="00AF648A" w:rsidRDefault="00AF648A" w:rsidP="00536EDA">
            <w:pPr>
              <w:spacing w:before="120" w:after="120"/>
              <w:jc w:val="center"/>
              <w:rPr>
                <w:lang w:val="en-US"/>
              </w:rPr>
            </w:pPr>
            <w:r w:rsidRPr="00AF648A">
              <w:rPr>
                <w:lang w:val="en-US"/>
              </w:rPr>
              <w:t>2</w:t>
            </w:r>
          </w:p>
        </w:tc>
        <w:tc>
          <w:tcPr>
            <w:tcW w:w="3686" w:type="dxa"/>
            <w:vAlign w:val="center"/>
            <w:hideMark/>
          </w:tcPr>
          <w:p w14:paraId="69FC0DC2" w14:textId="77777777" w:rsidR="00AF648A" w:rsidRPr="00AF648A" w:rsidRDefault="00AF648A" w:rsidP="00536EDA">
            <w:pPr>
              <w:spacing w:before="120" w:after="120"/>
              <w:ind w:left="57" w:right="57"/>
              <w:jc w:val="both"/>
              <w:rPr>
                <w:lang w:val="en-US"/>
              </w:rPr>
            </w:pPr>
            <w:r w:rsidRPr="00AF648A">
              <w:rPr>
                <w:lang w:val="en-US"/>
              </w:rPr>
              <w:t>Ms. Nguyen Thi Thanh Loan</w:t>
            </w:r>
          </w:p>
        </w:tc>
        <w:tc>
          <w:tcPr>
            <w:tcW w:w="3969" w:type="dxa"/>
            <w:vAlign w:val="center"/>
            <w:hideMark/>
          </w:tcPr>
          <w:p w14:paraId="05A8BE6C" w14:textId="77777777" w:rsidR="00AF648A" w:rsidRPr="00AF648A" w:rsidRDefault="00AF648A" w:rsidP="00536EDA">
            <w:pPr>
              <w:spacing w:before="120" w:after="120"/>
              <w:ind w:left="57" w:right="57"/>
              <w:jc w:val="both"/>
              <w:rPr>
                <w:lang w:val="en-US"/>
              </w:rPr>
            </w:pPr>
            <w:r w:rsidRPr="00AF648A">
              <w:rPr>
                <w:lang w:val="en-US"/>
              </w:rPr>
              <w:t>Supervisory Board Member</w:t>
            </w:r>
          </w:p>
        </w:tc>
      </w:tr>
      <w:tr w:rsidR="00AF648A" w:rsidRPr="00AF648A" w14:paraId="1FC40AA7" w14:textId="77777777" w:rsidTr="00536EDA">
        <w:tc>
          <w:tcPr>
            <w:tcW w:w="1696" w:type="dxa"/>
            <w:vAlign w:val="center"/>
            <w:hideMark/>
          </w:tcPr>
          <w:p w14:paraId="03DEB7D9" w14:textId="77777777" w:rsidR="00AF648A" w:rsidRPr="00AF648A" w:rsidRDefault="00AF648A" w:rsidP="00536EDA">
            <w:pPr>
              <w:spacing w:before="120" w:after="120"/>
              <w:jc w:val="center"/>
              <w:rPr>
                <w:lang w:val="en-US"/>
              </w:rPr>
            </w:pPr>
            <w:r w:rsidRPr="00AF648A">
              <w:rPr>
                <w:lang w:val="en-US"/>
              </w:rPr>
              <w:t>3</w:t>
            </w:r>
          </w:p>
        </w:tc>
        <w:tc>
          <w:tcPr>
            <w:tcW w:w="3686" w:type="dxa"/>
            <w:vAlign w:val="center"/>
            <w:hideMark/>
          </w:tcPr>
          <w:p w14:paraId="123FB21D" w14:textId="77777777" w:rsidR="00AF648A" w:rsidRPr="00AF648A" w:rsidRDefault="00AF648A" w:rsidP="00536EDA">
            <w:pPr>
              <w:spacing w:before="120" w:after="120"/>
              <w:ind w:left="57" w:right="57"/>
              <w:jc w:val="both"/>
              <w:rPr>
                <w:lang w:val="en-US"/>
              </w:rPr>
            </w:pPr>
            <w:r w:rsidRPr="00AF648A">
              <w:rPr>
                <w:lang w:val="en-US"/>
              </w:rPr>
              <w:t>Ms. Doan Nguyen Kim Phuong</w:t>
            </w:r>
          </w:p>
        </w:tc>
        <w:tc>
          <w:tcPr>
            <w:tcW w:w="3969" w:type="dxa"/>
            <w:vAlign w:val="center"/>
            <w:hideMark/>
          </w:tcPr>
          <w:p w14:paraId="30A0B171" w14:textId="77777777" w:rsidR="00AF648A" w:rsidRPr="00AF648A" w:rsidRDefault="00AF648A" w:rsidP="00536EDA">
            <w:pPr>
              <w:spacing w:before="120" w:after="120"/>
              <w:ind w:left="57" w:right="57"/>
              <w:jc w:val="both"/>
              <w:rPr>
                <w:lang w:val="en-US"/>
              </w:rPr>
            </w:pPr>
            <w:r w:rsidRPr="00AF648A">
              <w:rPr>
                <w:lang w:val="en-US"/>
              </w:rPr>
              <w:t>Supervisory Board Member</w:t>
            </w:r>
          </w:p>
        </w:tc>
      </w:tr>
    </w:tbl>
    <w:p w14:paraId="3ED970E6" w14:textId="77777777" w:rsidR="00AF648A" w:rsidRPr="00AF648A" w:rsidRDefault="00AF648A" w:rsidP="00536EDA">
      <w:pPr>
        <w:spacing w:before="120" w:after="120"/>
        <w:jc w:val="both"/>
        <w:rPr>
          <w:b/>
          <w:bCs/>
          <w:lang w:val="en-US"/>
        </w:rPr>
      </w:pPr>
      <w:r w:rsidRPr="00AF648A">
        <w:rPr>
          <w:b/>
          <w:bCs/>
          <w:lang w:val="en-US"/>
        </w:rPr>
        <w:t>2. Activities of the Supervisory Board</w:t>
      </w:r>
    </w:p>
    <w:p w14:paraId="36CD054A" w14:textId="77777777" w:rsidR="00AF648A" w:rsidRPr="00AF648A" w:rsidRDefault="00AF648A" w:rsidP="00536EDA">
      <w:pPr>
        <w:spacing w:before="120" w:after="120"/>
        <w:jc w:val="both"/>
        <w:rPr>
          <w:lang w:val="en-US"/>
        </w:rPr>
      </w:pPr>
      <w:r w:rsidRPr="00AF648A">
        <w:rPr>
          <w:lang w:val="en-US"/>
        </w:rPr>
        <w:t>In the 2024 fiscal year, the Supervisory Board performed tasks according to the laws and the company’s Charter, including:</w:t>
      </w:r>
    </w:p>
    <w:p w14:paraId="7250CAA3" w14:textId="77777777" w:rsidR="00AF648A" w:rsidRPr="00AF648A" w:rsidRDefault="00AF648A" w:rsidP="00536EDA">
      <w:pPr>
        <w:numPr>
          <w:ilvl w:val="0"/>
          <w:numId w:val="8"/>
        </w:numPr>
        <w:spacing w:before="120" w:after="120"/>
        <w:jc w:val="both"/>
        <w:rPr>
          <w:lang w:val="en-US"/>
        </w:rPr>
      </w:pPr>
      <w:r w:rsidRPr="00AF648A">
        <w:rPr>
          <w:b/>
          <w:bCs/>
          <w:lang w:val="en-US"/>
        </w:rPr>
        <w:t>Financial Inspection</w:t>
      </w:r>
      <w:r w:rsidRPr="00AF648A">
        <w:rPr>
          <w:lang w:val="en-US"/>
        </w:rPr>
        <w:t>: The Supervisory Board monitored the preparation of the company’s financial statements and the independent audit results. The financial statements were correctly prepared and accurately reflected the company's financial situation.</w:t>
      </w:r>
    </w:p>
    <w:p w14:paraId="207AB87E" w14:textId="77777777" w:rsidR="00AF648A" w:rsidRPr="00AF648A" w:rsidRDefault="00AF648A" w:rsidP="00536EDA">
      <w:pPr>
        <w:numPr>
          <w:ilvl w:val="0"/>
          <w:numId w:val="8"/>
        </w:numPr>
        <w:spacing w:before="120" w:after="120"/>
        <w:jc w:val="both"/>
        <w:rPr>
          <w:lang w:val="en-US"/>
        </w:rPr>
      </w:pPr>
      <w:r w:rsidRPr="00AF648A">
        <w:rPr>
          <w:b/>
          <w:bCs/>
          <w:lang w:val="en-US"/>
        </w:rPr>
        <w:t>Corporate Governance Inspection</w:t>
      </w:r>
      <w:r w:rsidRPr="00AF648A">
        <w:rPr>
          <w:lang w:val="en-US"/>
        </w:rPr>
        <w:t>: The Supervisory Board reviewed the decisions made by the Board of Directors and the Executive Board to ensure legality and transparency in the company's operations.</w:t>
      </w:r>
    </w:p>
    <w:p w14:paraId="1F047532" w14:textId="77777777" w:rsidR="00AF648A" w:rsidRPr="00AF648A" w:rsidRDefault="00AF648A" w:rsidP="00536EDA">
      <w:pPr>
        <w:numPr>
          <w:ilvl w:val="0"/>
          <w:numId w:val="8"/>
        </w:numPr>
        <w:spacing w:before="120" w:after="120"/>
        <w:jc w:val="both"/>
        <w:rPr>
          <w:lang w:val="en-US"/>
        </w:rPr>
      </w:pPr>
      <w:r w:rsidRPr="00AF648A">
        <w:rPr>
          <w:b/>
          <w:bCs/>
          <w:lang w:val="en-US"/>
        </w:rPr>
        <w:t>Legal Compliance Monitoring</w:t>
      </w:r>
      <w:r w:rsidRPr="00AF648A">
        <w:rPr>
          <w:lang w:val="en-US"/>
        </w:rPr>
        <w:t>: The Supervisory Board also oversaw the compliance with laws governing the company’s business activities, ensuring all actions adhered to legal regulations. The Board ensured compliance with the company’s Charter, internal regulations, and procedures, and verified the reasonableness of business operations and resource allocation for implementing business plans.</w:t>
      </w:r>
    </w:p>
    <w:p w14:paraId="0910B438" w14:textId="77777777" w:rsidR="00AF648A" w:rsidRPr="00AF648A" w:rsidRDefault="00AF648A" w:rsidP="00536EDA">
      <w:pPr>
        <w:numPr>
          <w:ilvl w:val="0"/>
          <w:numId w:val="8"/>
        </w:numPr>
        <w:spacing w:before="120" w:after="120"/>
        <w:jc w:val="both"/>
        <w:rPr>
          <w:lang w:val="en-US"/>
        </w:rPr>
      </w:pPr>
      <w:r w:rsidRPr="00AF648A">
        <w:rPr>
          <w:b/>
          <w:bCs/>
          <w:lang w:val="en-US"/>
        </w:rPr>
        <w:t>Monitoring Other Activities</w:t>
      </w:r>
      <w:r w:rsidRPr="00AF648A">
        <w:rPr>
          <w:lang w:val="en-US"/>
        </w:rPr>
        <w:t xml:space="preserve">: The Supervisory Board also oversaw important activities such as investments, project development, transactions with major shareholders, the Board </w:t>
      </w:r>
      <w:r w:rsidRPr="00AF648A">
        <w:rPr>
          <w:lang w:val="en-US"/>
        </w:rPr>
        <w:lastRenderedPageBreak/>
        <w:t>of Directors, the General Director, the Supervisory Board, and related parties according to legal regulations.</w:t>
      </w:r>
    </w:p>
    <w:p w14:paraId="60DE6C88" w14:textId="77777777" w:rsidR="00AF648A" w:rsidRPr="00AF648A" w:rsidRDefault="00AF648A" w:rsidP="00536EDA">
      <w:pPr>
        <w:numPr>
          <w:ilvl w:val="0"/>
          <w:numId w:val="8"/>
        </w:numPr>
        <w:spacing w:before="120" w:after="120"/>
        <w:jc w:val="both"/>
        <w:rPr>
          <w:lang w:val="en-US"/>
        </w:rPr>
      </w:pPr>
      <w:r w:rsidRPr="00AF648A">
        <w:rPr>
          <w:b/>
          <w:bCs/>
          <w:lang w:val="en-US"/>
        </w:rPr>
        <w:t>Coordination</w:t>
      </w:r>
      <w:r w:rsidRPr="00AF648A">
        <w:rPr>
          <w:lang w:val="en-US"/>
        </w:rPr>
        <w:t>: The Supervisory Board cooperated with the Board of Directors, the Executive Board, shareholders, and performed other tasks as required by law and the company’s Charter to protect the legitimate rights of the company and shareholders.</w:t>
      </w:r>
    </w:p>
    <w:p w14:paraId="4FF69358" w14:textId="77777777" w:rsidR="00AF648A" w:rsidRPr="00AF648A" w:rsidRDefault="00AF648A" w:rsidP="00536EDA">
      <w:pPr>
        <w:spacing w:before="120" w:after="120"/>
        <w:jc w:val="both"/>
        <w:rPr>
          <w:b/>
          <w:bCs/>
          <w:lang w:val="en-US"/>
        </w:rPr>
      </w:pPr>
      <w:r w:rsidRPr="00AF648A">
        <w:rPr>
          <w:b/>
          <w:bCs/>
          <w:lang w:val="en-US"/>
        </w:rPr>
        <w:t>3. Report on the 2024 Financial Statement Audit</w:t>
      </w:r>
    </w:p>
    <w:p w14:paraId="417F6D10" w14:textId="77777777" w:rsidR="00AF648A" w:rsidRPr="00AF648A" w:rsidRDefault="00AF648A" w:rsidP="00536EDA">
      <w:pPr>
        <w:spacing w:before="120" w:after="120"/>
        <w:jc w:val="both"/>
        <w:rPr>
          <w:lang w:val="en-US"/>
        </w:rPr>
      </w:pPr>
      <w:r w:rsidRPr="00AF648A">
        <w:rPr>
          <w:lang w:val="en-US"/>
        </w:rPr>
        <w:t>In 2024, the Supervisory Board carried out checks on the appropriateness, legality, accuracy, and diligence in accounting, statistics, and the preparation of financial statements. The quarterly, semi-annual, and annual financial statements were audited by AASCS. The Supervisory Board reviewed and approved the contents and financial data presented by AASCS without exception. The financial reports were prepared in compliance with the company's Charter, accounting standards, and regulations, ensuring accuracy and honesty.</w:t>
      </w:r>
      <w:r w:rsidRPr="00AF648A">
        <w:rPr>
          <w:lang w:val="en-US"/>
        </w:rPr>
        <w:br/>
        <w:t>The company's financial activities were carried out according to regulations, and the audited financial statements revealed no significant errors.</w:t>
      </w:r>
    </w:p>
    <w:p w14:paraId="5087CD56" w14:textId="77777777" w:rsidR="00AF648A" w:rsidRPr="00AF648A" w:rsidRDefault="00AF648A" w:rsidP="00536EDA">
      <w:pPr>
        <w:spacing w:before="120" w:after="120"/>
        <w:jc w:val="both"/>
        <w:rPr>
          <w:b/>
          <w:bCs/>
          <w:lang w:val="en-US"/>
        </w:rPr>
      </w:pPr>
      <w:r w:rsidRPr="00AF648A">
        <w:rPr>
          <w:b/>
          <w:bCs/>
          <w:lang w:val="en-US"/>
        </w:rPr>
        <w:t>4. Monitoring the Board of Directors’ and Executive Board’s Legal Compliance and Resolutions</w:t>
      </w:r>
    </w:p>
    <w:p w14:paraId="04DD43DF" w14:textId="77777777" w:rsidR="00AF648A" w:rsidRPr="00AF648A" w:rsidRDefault="00AF648A" w:rsidP="00536EDA">
      <w:pPr>
        <w:spacing w:before="120" w:after="120"/>
        <w:jc w:val="both"/>
        <w:rPr>
          <w:lang w:val="en-US"/>
        </w:rPr>
      </w:pPr>
      <w:r w:rsidRPr="00AF648A">
        <w:rPr>
          <w:lang w:val="en-US"/>
        </w:rPr>
        <w:t xml:space="preserve">a) </w:t>
      </w:r>
      <w:r w:rsidRPr="00AF648A">
        <w:rPr>
          <w:b/>
          <w:bCs/>
          <w:lang w:val="en-US"/>
        </w:rPr>
        <w:t>Monitoring the Activities of the Board of Directors</w:t>
      </w:r>
    </w:p>
    <w:p w14:paraId="37817D81" w14:textId="77777777" w:rsidR="00AF648A" w:rsidRPr="00AF648A" w:rsidRDefault="00AF648A" w:rsidP="00536EDA">
      <w:pPr>
        <w:numPr>
          <w:ilvl w:val="0"/>
          <w:numId w:val="9"/>
        </w:numPr>
        <w:spacing w:before="120" w:after="120"/>
        <w:jc w:val="both"/>
        <w:rPr>
          <w:lang w:val="en-US"/>
        </w:rPr>
      </w:pPr>
      <w:r w:rsidRPr="00AF648A">
        <w:rPr>
          <w:lang w:val="en-US"/>
        </w:rPr>
        <w:t>In 2024, the Board of Directors successfully implemented the goals and tasks proposed by the General Shareholders Meeting, complying with the company's Charter and current legal regulations.</w:t>
      </w:r>
    </w:p>
    <w:p w14:paraId="7DB8A03E" w14:textId="77777777" w:rsidR="00AF648A" w:rsidRPr="00AF648A" w:rsidRDefault="00AF648A" w:rsidP="00536EDA">
      <w:pPr>
        <w:numPr>
          <w:ilvl w:val="0"/>
          <w:numId w:val="9"/>
        </w:numPr>
        <w:spacing w:before="120" w:after="120"/>
        <w:jc w:val="both"/>
        <w:rPr>
          <w:lang w:val="en-US"/>
        </w:rPr>
      </w:pPr>
      <w:r w:rsidRPr="00AF648A">
        <w:rPr>
          <w:lang w:val="en-US"/>
        </w:rPr>
        <w:t>The Board of Directors held periodic and unscheduled meetings as required to supervise and direct the company's business activities. Meetings, chaired by the Chairman of the Board of Directors, discussed the company’s issues, especially reforms, organizational structures, salary systems, and boosting business development to best fulfill the plans set by the Shareholders Meeting.</w:t>
      </w:r>
    </w:p>
    <w:p w14:paraId="2EE85752" w14:textId="77777777" w:rsidR="00AF648A" w:rsidRPr="00AF648A" w:rsidRDefault="00AF648A" w:rsidP="00536EDA">
      <w:pPr>
        <w:numPr>
          <w:ilvl w:val="0"/>
          <w:numId w:val="9"/>
        </w:numPr>
        <w:spacing w:before="120" w:after="120"/>
        <w:jc w:val="both"/>
        <w:rPr>
          <w:lang w:val="en-US"/>
        </w:rPr>
      </w:pPr>
      <w:r w:rsidRPr="00AF648A">
        <w:rPr>
          <w:lang w:val="en-US"/>
        </w:rPr>
        <w:t>The Board of Directors’ decisions were lawful, transparent, and made in the best interests of the company.</w:t>
      </w:r>
    </w:p>
    <w:p w14:paraId="226AB4BD" w14:textId="77777777" w:rsidR="00AF648A" w:rsidRPr="00AF648A" w:rsidRDefault="00AF648A" w:rsidP="00536EDA">
      <w:pPr>
        <w:numPr>
          <w:ilvl w:val="0"/>
          <w:numId w:val="9"/>
        </w:numPr>
        <w:spacing w:before="120" w:after="120"/>
        <w:jc w:val="both"/>
        <w:rPr>
          <w:lang w:val="en-US"/>
        </w:rPr>
      </w:pPr>
      <w:r w:rsidRPr="00AF648A">
        <w:rPr>
          <w:lang w:val="en-US"/>
        </w:rPr>
        <w:t>The Board of Directors monitored the investment process, prioritizing strategic projects with high efficiency and rapid capital recovery.</w:t>
      </w:r>
    </w:p>
    <w:p w14:paraId="72A4893A" w14:textId="77777777" w:rsidR="00AF648A" w:rsidRPr="00AF648A" w:rsidRDefault="00AF648A" w:rsidP="00536EDA">
      <w:pPr>
        <w:numPr>
          <w:ilvl w:val="0"/>
          <w:numId w:val="9"/>
        </w:numPr>
        <w:spacing w:before="120" w:after="120"/>
        <w:jc w:val="both"/>
        <w:rPr>
          <w:lang w:val="en-US"/>
        </w:rPr>
      </w:pPr>
      <w:r w:rsidRPr="00AF648A">
        <w:rPr>
          <w:lang w:val="en-US"/>
        </w:rPr>
        <w:t>The Board of Directors directed the restructuring of the market and the development of new potential markets, gradually showing positive and safe outcomes for the company.</w:t>
      </w:r>
    </w:p>
    <w:p w14:paraId="2D317CB8" w14:textId="77777777" w:rsidR="00AF648A" w:rsidRPr="00AF648A" w:rsidRDefault="00AF648A" w:rsidP="00536EDA">
      <w:pPr>
        <w:numPr>
          <w:ilvl w:val="0"/>
          <w:numId w:val="9"/>
        </w:numPr>
        <w:spacing w:before="120" w:after="120"/>
        <w:jc w:val="both"/>
        <w:rPr>
          <w:lang w:val="en-US"/>
        </w:rPr>
      </w:pPr>
      <w:r w:rsidRPr="00AF648A">
        <w:rPr>
          <w:lang w:val="en-US"/>
        </w:rPr>
        <w:t>Under its leadership and direction, in 2024, the Board of Directors issued 32 resolutions related to the company’s strategic goals, laying the foundation for the Executive Board to implement the company’s plans.</w:t>
      </w:r>
    </w:p>
    <w:p w14:paraId="5E8A620E" w14:textId="77777777" w:rsidR="00AF648A" w:rsidRPr="00AF648A" w:rsidRDefault="00AF648A" w:rsidP="00536EDA">
      <w:pPr>
        <w:numPr>
          <w:ilvl w:val="0"/>
          <w:numId w:val="9"/>
        </w:numPr>
        <w:spacing w:before="120" w:after="120"/>
        <w:jc w:val="both"/>
        <w:rPr>
          <w:lang w:val="en-US"/>
        </w:rPr>
      </w:pPr>
      <w:r w:rsidRPr="00AF648A">
        <w:rPr>
          <w:lang w:val="en-US"/>
        </w:rPr>
        <w:t>Despite a challenging economic year in 2024, the Board of Directors and Executive Board worked very actively and tirelessly, striving to maintain and stabilize operations. The Board had to make numerous strategic decisions to help the company meet its objectives. Although revenue and profit did not meet expectations, it showed the company’s significant efforts in a difficult economic context.</w:t>
      </w:r>
    </w:p>
    <w:p w14:paraId="7DE08A4D" w14:textId="77777777" w:rsidR="00AF648A" w:rsidRPr="00AF648A" w:rsidRDefault="00AF648A" w:rsidP="00536EDA">
      <w:pPr>
        <w:spacing w:before="120" w:after="120"/>
        <w:jc w:val="both"/>
        <w:rPr>
          <w:lang w:val="en-US"/>
        </w:rPr>
      </w:pPr>
      <w:r w:rsidRPr="00AF648A">
        <w:rPr>
          <w:lang w:val="en-US"/>
        </w:rPr>
        <w:t xml:space="preserve">b) </w:t>
      </w:r>
      <w:r w:rsidRPr="00AF648A">
        <w:rPr>
          <w:b/>
          <w:bCs/>
          <w:lang w:val="en-US"/>
        </w:rPr>
        <w:t>Monitoring the Activities of the Executive Board</w:t>
      </w:r>
    </w:p>
    <w:p w14:paraId="2A26964C" w14:textId="77777777" w:rsidR="00AF648A" w:rsidRPr="00AF648A" w:rsidRDefault="00AF648A" w:rsidP="00536EDA">
      <w:pPr>
        <w:numPr>
          <w:ilvl w:val="0"/>
          <w:numId w:val="10"/>
        </w:numPr>
        <w:spacing w:before="120" w:after="120"/>
        <w:jc w:val="both"/>
        <w:rPr>
          <w:lang w:val="en-US"/>
        </w:rPr>
      </w:pPr>
      <w:r w:rsidRPr="00AF648A">
        <w:rPr>
          <w:lang w:val="en-US"/>
        </w:rPr>
        <w:t>The General Director and Executive Board followed their roles and functions, adhering to the Enterprise Law, the company’s Charter, internal regulations, and other legal provisions.</w:t>
      </w:r>
    </w:p>
    <w:p w14:paraId="2560B1DC" w14:textId="77777777" w:rsidR="00AF648A" w:rsidRPr="00AF648A" w:rsidRDefault="00AF648A" w:rsidP="00536EDA">
      <w:pPr>
        <w:numPr>
          <w:ilvl w:val="0"/>
          <w:numId w:val="10"/>
        </w:numPr>
        <w:spacing w:before="120" w:after="120"/>
        <w:jc w:val="both"/>
        <w:rPr>
          <w:lang w:val="en-US"/>
        </w:rPr>
      </w:pPr>
      <w:r w:rsidRPr="00AF648A">
        <w:rPr>
          <w:lang w:val="en-US"/>
        </w:rPr>
        <w:t>Based on resolutions from the Shareholders Meeting and decisions from the Board of Directors, the Executive Board proactively developed management plans, driving business operations and maximizing the effectiveness of the organization and management.</w:t>
      </w:r>
    </w:p>
    <w:p w14:paraId="09940D02" w14:textId="77777777" w:rsidR="00AF648A" w:rsidRPr="00AF648A" w:rsidRDefault="00AF648A" w:rsidP="00536EDA">
      <w:pPr>
        <w:numPr>
          <w:ilvl w:val="0"/>
          <w:numId w:val="10"/>
        </w:numPr>
        <w:spacing w:before="120" w:after="120"/>
        <w:jc w:val="both"/>
        <w:rPr>
          <w:lang w:val="en-US"/>
        </w:rPr>
      </w:pPr>
      <w:r w:rsidRPr="00AF648A">
        <w:rPr>
          <w:lang w:val="en-US"/>
        </w:rPr>
        <w:t xml:space="preserve">The Executive Board issued strong directives on cost control and product pricing, ensuring that procurement and large investment projects were handled rigorously, thus guaranteeing </w:t>
      </w:r>
      <w:r w:rsidRPr="00AF648A">
        <w:rPr>
          <w:lang w:val="en-US"/>
        </w:rPr>
        <w:lastRenderedPageBreak/>
        <w:t>the quality and cost-efficiency of products. These measures not only enhanced the company's competitiveness but also contributed positively to increasing the gross profit margin.</w:t>
      </w:r>
    </w:p>
    <w:p w14:paraId="0FC3AF2A" w14:textId="77777777" w:rsidR="00AF648A" w:rsidRPr="00AF648A" w:rsidRDefault="00AF648A" w:rsidP="00536EDA">
      <w:pPr>
        <w:numPr>
          <w:ilvl w:val="0"/>
          <w:numId w:val="10"/>
        </w:numPr>
        <w:spacing w:before="120" w:after="120"/>
        <w:jc w:val="both"/>
        <w:rPr>
          <w:lang w:val="en-US"/>
        </w:rPr>
      </w:pPr>
      <w:r w:rsidRPr="00AF648A">
        <w:rPr>
          <w:lang w:val="en-US"/>
        </w:rPr>
        <w:t>The Executive Board imposed regulations across all departments to save costs and eliminate unnecessary expenses, thus improving the efficiency of capital usage. Overall, the company’s leadership structure is functioning well, with all employees strictly following assignments to complete their duties.</w:t>
      </w:r>
    </w:p>
    <w:p w14:paraId="6123A2E4" w14:textId="77777777" w:rsidR="00AF648A" w:rsidRPr="00AF648A" w:rsidRDefault="00AF648A" w:rsidP="00536EDA">
      <w:pPr>
        <w:spacing w:before="120" w:after="120"/>
        <w:jc w:val="both"/>
        <w:rPr>
          <w:b/>
          <w:bCs/>
          <w:lang w:val="en-US"/>
        </w:rPr>
      </w:pPr>
      <w:r w:rsidRPr="00AF648A">
        <w:rPr>
          <w:b/>
          <w:bCs/>
          <w:lang w:val="en-US"/>
        </w:rPr>
        <w:t>5. Coordination Between the Supervisory Board, Board of Directors, and Executive Board</w:t>
      </w:r>
    </w:p>
    <w:p w14:paraId="2F2CED5B" w14:textId="77777777" w:rsidR="00AF648A" w:rsidRPr="00AF648A" w:rsidRDefault="00AF648A" w:rsidP="00536EDA">
      <w:pPr>
        <w:spacing w:before="120" w:after="120"/>
        <w:jc w:val="both"/>
        <w:rPr>
          <w:lang w:val="en-US"/>
        </w:rPr>
      </w:pPr>
      <w:r w:rsidRPr="00AF648A">
        <w:rPr>
          <w:lang w:val="en-US"/>
        </w:rPr>
        <w:t>The Supervisory Board received strong cooperation from the Board of Directors, Executive Board, and the company’s management staff, receiving all necessary reports and documents for the oversight work. The Supervisory Board participated in some meetings of the Board of Directors, providing feedback to ensure that the company’s activities aligned with shareholder interests.</w:t>
      </w:r>
      <w:r w:rsidRPr="00AF648A">
        <w:rPr>
          <w:lang w:val="en-US"/>
        </w:rPr>
        <w:br/>
        <w:t>The Supervisory Board conducted regular and unexpected inspections of the company’s activities to prevent material losses, operational violations, reduce waste, and mitigate operational risks.</w:t>
      </w:r>
    </w:p>
    <w:p w14:paraId="699A7E71" w14:textId="77777777" w:rsidR="00AF648A" w:rsidRPr="00AF648A" w:rsidRDefault="00AF648A" w:rsidP="00536EDA">
      <w:pPr>
        <w:spacing w:before="120" w:after="120"/>
        <w:jc w:val="both"/>
        <w:rPr>
          <w:b/>
          <w:bCs/>
          <w:lang w:val="en-US"/>
        </w:rPr>
      </w:pPr>
      <w:r w:rsidRPr="00AF648A">
        <w:rPr>
          <w:b/>
          <w:bCs/>
          <w:lang w:val="en-US"/>
        </w:rPr>
        <w:t>6. Monitoring the Implementation of the 2024 Shareholders’ Meeting Resolutions</w:t>
      </w:r>
    </w:p>
    <w:p w14:paraId="66F1B2B4" w14:textId="77777777" w:rsidR="00AF648A" w:rsidRPr="00AF648A" w:rsidRDefault="00AF648A" w:rsidP="00536EDA">
      <w:pPr>
        <w:spacing w:before="120" w:after="120"/>
        <w:rPr>
          <w:lang w:val="en-US"/>
        </w:rPr>
      </w:pPr>
      <w:r w:rsidRPr="00AF648A">
        <w:rPr>
          <w:lang w:val="en-US"/>
        </w:rPr>
        <w:t xml:space="preserve">6.1. </w:t>
      </w:r>
      <w:r w:rsidRPr="00AF648A">
        <w:rPr>
          <w:b/>
          <w:bCs/>
          <w:lang w:val="en-US"/>
        </w:rPr>
        <w:t>Business Performance</w:t>
      </w:r>
      <w:r w:rsidRPr="00AF648A">
        <w:rPr>
          <w:lang w:val="en-US"/>
        </w:rPr>
        <w:br/>
        <w:t>Consolidated business results for 2024:</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405"/>
        <w:gridCol w:w="1701"/>
        <w:gridCol w:w="1985"/>
        <w:gridCol w:w="3260"/>
      </w:tblGrid>
      <w:tr w:rsidR="00B35672" w:rsidRPr="00AF648A" w14:paraId="6AD9D55E" w14:textId="77777777" w:rsidTr="00B35672">
        <w:trPr>
          <w:tblHeader/>
        </w:trPr>
        <w:tc>
          <w:tcPr>
            <w:tcW w:w="2405" w:type="dxa"/>
            <w:vMerge w:val="restart"/>
            <w:vAlign w:val="center"/>
            <w:hideMark/>
          </w:tcPr>
          <w:p w14:paraId="616194AE" w14:textId="77777777" w:rsidR="00B35672" w:rsidRPr="00AF648A" w:rsidRDefault="00B35672" w:rsidP="00536EDA">
            <w:pPr>
              <w:spacing w:before="120" w:after="120"/>
              <w:jc w:val="center"/>
              <w:rPr>
                <w:b/>
                <w:bCs/>
                <w:lang w:val="en-US"/>
              </w:rPr>
            </w:pPr>
            <w:r w:rsidRPr="00AF648A">
              <w:rPr>
                <w:b/>
                <w:bCs/>
                <w:lang w:val="en-US"/>
              </w:rPr>
              <w:t>Indicator</w:t>
            </w:r>
          </w:p>
        </w:tc>
        <w:tc>
          <w:tcPr>
            <w:tcW w:w="3686" w:type="dxa"/>
            <w:gridSpan w:val="2"/>
            <w:vAlign w:val="center"/>
            <w:hideMark/>
          </w:tcPr>
          <w:p w14:paraId="3918F64C" w14:textId="6F736E61" w:rsidR="00B35672" w:rsidRPr="00AF648A" w:rsidRDefault="00B35672" w:rsidP="00536EDA">
            <w:pPr>
              <w:spacing w:before="120" w:after="120"/>
              <w:jc w:val="center"/>
              <w:rPr>
                <w:b/>
                <w:bCs/>
                <w:lang w:val="en-US"/>
              </w:rPr>
            </w:pPr>
            <w:r w:rsidRPr="00AF648A">
              <w:rPr>
                <w:b/>
                <w:bCs/>
                <w:lang w:val="en-US"/>
              </w:rPr>
              <w:t>2024 (VND billion)</w:t>
            </w:r>
          </w:p>
        </w:tc>
        <w:tc>
          <w:tcPr>
            <w:tcW w:w="3260" w:type="dxa"/>
            <w:vMerge w:val="restart"/>
            <w:vAlign w:val="center"/>
            <w:hideMark/>
          </w:tcPr>
          <w:p w14:paraId="2EF0E6FA" w14:textId="52343D1A" w:rsidR="00B35672" w:rsidRPr="00AF648A" w:rsidRDefault="00B35672" w:rsidP="00536EDA">
            <w:pPr>
              <w:spacing w:before="120" w:after="120"/>
              <w:jc w:val="center"/>
              <w:rPr>
                <w:b/>
                <w:bCs/>
                <w:lang w:val="en-US"/>
              </w:rPr>
            </w:pPr>
            <w:r w:rsidRPr="00AF648A">
              <w:rPr>
                <w:b/>
                <w:bCs/>
                <w:lang w:val="en-US"/>
              </w:rPr>
              <w:t>Actual 2024/Plan 2024 (%)</w:t>
            </w:r>
          </w:p>
        </w:tc>
      </w:tr>
      <w:tr w:rsidR="00B35672" w:rsidRPr="00AF648A" w14:paraId="5E184A0A" w14:textId="77777777" w:rsidTr="00B35672">
        <w:trPr>
          <w:tblHeader/>
        </w:trPr>
        <w:tc>
          <w:tcPr>
            <w:tcW w:w="2405" w:type="dxa"/>
            <w:vMerge/>
            <w:vAlign w:val="center"/>
          </w:tcPr>
          <w:p w14:paraId="7B665A4F" w14:textId="77777777" w:rsidR="00B35672" w:rsidRPr="00AF648A" w:rsidRDefault="00B35672" w:rsidP="00536EDA">
            <w:pPr>
              <w:spacing w:before="120" w:after="120"/>
              <w:jc w:val="center"/>
              <w:rPr>
                <w:b/>
                <w:bCs/>
                <w:lang w:val="en-US"/>
              </w:rPr>
            </w:pPr>
          </w:p>
        </w:tc>
        <w:tc>
          <w:tcPr>
            <w:tcW w:w="1701" w:type="dxa"/>
            <w:vAlign w:val="center"/>
          </w:tcPr>
          <w:p w14:paraId="20A394BE" w14:textId="232B265A" w:rsidR="00B35672" w:rsidRPr="00AF648A" w:rsidRDefault="00B35672" w:rsidP="00536EDA">
            <w:pPr>
              <w:spacing w:before="120" w:after="120"/>
              <w:jc w:val="center"/>
              <w:rPr>
                <w:b/>
                <w:bCs/>
                <w:lang w:val="en-US"/>
              </w:rPr>
            </w:pPr>
            <w:r w:rsidRPr="00B35672">
              <w:rPr>
                <w:b/>
                <w:bCs/>
              </w:rPr>
              <w:t>Plan</w:t>
            </w:r>
          </w:p>
        </w:tc>
        <w:tc>
          <w:tcPr>
            <w:tcW w:w="1985" w:type="dxa"/>
          </w:tcPr>
          <w:p w14:paraId="3E8E033B" w14:textId="57F6F2BA" w:rsidR="00B35672" w:rsidRPr="00AF648A" w:rsidRDefault="00B35672" w:rsidP="00536EDA">
            <w:pPr>
              <w:spacing w:before="120" w:after="120"/>
              <w:jc w:val="center"/>
              <w:rPr>
                <w:b/>
                <w:bCs/>
                <w:lang w:val="en-US"/>
              </w:rPr>
            </w:pPr>
            <w:r w:rsidRPr="00B35672">
              <w:rPr>
                <w:b/>
                <w:bCs/>
              </w:rPr>
              <w:t>Implementation</w:t>
            </w:r>
          </w:p>
        </w:tc>
        <w:tc>
          <w:tcPr>
            <w:tcW w:w="3260" w:type="dxa"/>
            <w:vMerge/>
            <w:vAlign w:val="center"/>
          </w:tcPr>
          <w:p w14:paraId="691ECFD7" w14:textId="77777777" w:rsidR="00B35672" w:rsidRPr="00AF648A" w:rsidRDefault="00B35672" w:rsidP="00536EDA">
            <w:pPr>
              <w:spacing w:before="120" w:after="120"/>
              <w:jc w:val="center"/>
              <w:rPr>
                <w:b/>
                <w:bCs/>
                <w:lang w:val="en-US"/>
              </w:rPr>
            </w:pPr>
          </w:p>
        </w:tc>
      </w:tr>
      <w:tr w:rsidR="00B35672" w:rsidRPr="00AF648A" w14:paraId="2D0D97B3" w14:textId="77777777" w:rsidTr="00B35672">
        <w:tc>
          <w:tcPr>
            <w:tcW w:w="2405" w:type="dxa"/>
            <w:vAlign w:val="center"/>
            <w:hideMark/>
          </w:tcPr>
          <w:p w14:paraId="41DB5B1A" w14:textId="77777777" w:rsidR="00B35672" w:rsidRPr="00AF648A" w:rsidRDefault="00B35672" w:rsidP="00B35672">
            <w:pPr>
              <w:spacing w:before="120" w:after="120"/>
              <w:ind w:left="57"/>
              <w:jc w:val="both"/>
              <w:rPr>
                <w:lang w:val="en-US"/>
              </w:rPr>
            </w:pPr>
            <w:r w:rsidRPr="00AF648A">
              <w:rPr>
                <w:lang w:val="en-US"/>
              </w:rPr>
              <w:t>Net Revenue</w:t>
            </w:r>
          </w:p>
        </w:tc>
        <w:tc>
          <w:tcPr>
            <w:tcW w:w="1701" w:type="dxa"/>
            <w:vAlign w:val="center"/>
            <w:hideMark/>
          </w:tcPr>
          <w:p w14:paraId="1742DA47" w14:textId="77777777" w:rsidR="00B35672" w:rsidRPr="00AF648A" w:rsidRDefault="00B35672" w:rsidP="00B35672">
            <w:pPr>
              <w:spacing w:before="120" w:after="120"/>
              <w:ind w:left="57"/>
              <w:jc w:val="center"/>
              <w:rPr>
                <w:lang w:val="en-US"/>
              </w:rPr>
            </w:pPr>
            <w:r w:rsidRPr="00AF648A">
              <w:rPr>
                <w:lang w:val="en-US"/>
              </w:rPr>
              <w:t>8,499</w:t>
            </w:r>
          </w:p>
        </w:tc>
        <w:tc>
          <w:tcPr>
            <w:tcW w:w="1985" w:type="dxa"/>
            <w:vAlign w:val="center"/>
          </w:tcPr>
          <w:p w14:paraId="56C72CBE" w14:textId="10993362" w:rsidR="00B35672" w:rsidRPr="00AF648A" w:rsidRDefault="00B35672" w:rsidP="00B35672">
            <w:pPr>
              <w:spacing w:before="120" w:after="120"/>
              <w:ind w:left="57"/>
              <w:jc w:val="center"/>
              <w:rPr>
                <w:lang w:val="en-US"/>
              </w:rPr>
            </w:pPr>
            <w:r w:rsidRPr="00AF648A">
              <w:rPr>
                <w:lang w:val="en-US"/>
              </w:rPr>
              <w:t>7,137</w:t>
            </w:r>
          </w:p>
        </w:tc>
        <w:tc>
          <w:tcPr>
            <w:tcW w:w="3260" w:type="dxa"/>
            <w:vAlign w:val="center"/>
          </w:tcPr>
          <w:p w14:paraId="7ABC837F" w14:textId="6523A5AF" w:rsidR="00B35672" w:rsidRPr="00AF648A" w:rsidRDefault="00B35672" w:rsidP="00B35672">
            <w:pPr>
              <w:spacing w:before="120" w:after="120"/>
              <w:ind w:left="57"/>
              <w:jc w:val="center"/>
              <w:rPr>
                <w:lang w:val="en-US"/>
              </w:rPr>
            </w:pPr>
            <w:r>
              <w:rPr>
                <w:lang w:val="en-US"/>
              </w:rPr>
              <w:t>83.9</w:t>
            </w:r>
            <w:r w:rsidR="00170A17">
              <w:rPr>
                <w:lang w:val="en-US"/>
              </w:rPr>
              <w:t>8</w:t>
            </w:r>
          </w:p>
        </w:tc>
      </w:tr>
      <w:tr w:rsidR="00B35672" w:rsidRPr="00AF648A" w14:paraId="0125E64B" w14:textId="77777777" w:rsidTr="00B35672">
        <w:tc>
          <w:tcPr>
            <w:tcW w:w="2405" w:type="dxa"/>
            <w:vAlign w:val="center"/>
            <w:hideMark/>
          </w:tcPr>
          <w:p w14:paraId="7D816B8A" w14:textId="77777777" w:rsidR="00B35672" w:rsidRPr="00AF648A" w:rsidRDefault="00B35672" w:rsidP="00B35672">
            <w:pPr>
              <w:spacing w:before="120" w:after="120"/>
              <w:ind w:left="57"/>
              <w:jc w:val="both"/>
              <w:rPr>
                <w:lang w:val="en-US"/>
              </w:rPr>
            </w:pPr>
            <w:r w:rsidRPr="00AF648A">
              <w:rPr>
                <w:lang w:val="en-US"/>
              </w:rPr>
              <w:t>Net Profit After Tax</w:t>
            </w:r>
          </w:p>
        </w:tc>
        <w:tc>
          <w:tcPr>
            <w:tcW w:w="1701" w:type="dxa"/>
            <w:vAlign w:val="center"/>
            <w:hideMark/>
          </w:tcPr>
          <w:p w14:paraId="69079234" w14:textId="77777777" w:rsidR="00B35672" w:rsidRPr="00AF648A" w:rsidRDefault="00B35672" w:rsidP="00B35672">
            <w:pPr>
              <w:spacing w:before="120" w:after="120"/>
              <w:ind w:left="57"/>
              <w:jc w:val="center"/>
              <w:rPr>
                <w:lang w:val="en-US"/>
              </w:rPr>
            </w:pPr>
            <w:r w:rsidRPr="00AF648A">
              <w:rPr>
                <w:lang w:val="en-US"/>
              </w:rPr>
              <w:t>276</w:t>
            </w:r>
          </w:p>
        </w:tc>
        <w:tc>
          <w:tcPr>
            <w:tcW w:w="1985" w:type="dxa"/>
            <w:vAlign w:val="center"/>
          </w:tcPr>
          <w:p w14:paraId="203CA34D" w14:textId="6054E5CE" w:rsidR="00B35672" w:rsidRPr="00AF648A" w:rsidRDefault="00B35672" w:rsidP="00B35672">
            <w:pPr>
              <w:spacing w:before="120" w:after="120"/>
              <w:ind w:left="57"/>
              <w:jc w:val="center"/>
              <w:rPr>
                <w:lang w:val="en-US"/>
              </w:rPr>
            </w:pPr>
            <w:r w:rsidRPr="00AF648A">
              <w:rPr>
                <w:lang w:val="en-US"/>
              </w:rPr>
              <w:t>72.7</w:t>
            </w:r>
          </w:p>
        </w:tc>
        <w:tc>
          <w:tcPr>
            <w:tcW w:w="3260" w:type="dxa"/>
            <w:vAlign w:val="center"/>
          </w:tcPr>
          <w:p w14:paraId="6280C582" w14:textId="23981E1E" w:rsidR="00B35672" w:rsidRPr="00AF648A" w:rsidRDefault="00B35672" w:rsidP="00B35672">
            <w:pPr>
              <w:spacing w:before="120" w:after="120"/>
              <w:ind w:left="57"/>
              <w:jc w:val="center"/>
              <w:rPr>
                <w:lang w:val="en-US"/>
              </w:rPr>
            </w:pPr>
            <w:r>
              <w:rPr>
                <w:lang w:val="en-US"/>
              </w:rPr>
              <w:t>26.3</w:t>
            </w:r>
            <w:r w:rsidR="00170A17">
              <w:rPr>
                <w:lang w:val="en-US"/>
              </w:rPr>
              <w:t>4</w:t>
            </w:r>
          </w:p>
        </w:tc>
      </w:tr>
    </w:tbl>
    <w:p w14:paraId="26008B76" w14:textId="7A6EE577" w:rsidR="00AF648A" w:rsidRPr="00AF648A" w:rsidRDefault="00536EDA" w:rsidP="00536EDA">
      <w:pPr>
        <w:spacing w:before="120" w:after="120"/>
        <w:jc w:val="right"/>
        <w:rPr>
          <w:lang w:val="en-US"/>
        </w:rPr>
      </w:pPr>
      <w:r>
        <w:rPr>
          <w:lang w:val="en-US"/>
        </w:rPr>
        <w:t>(</w:t>
      </w:r>
      <w:r w:rsidR="00AF648A" w:rsidRPr="00AF648A">
        <w:rPr>
          <w:lang w:val="en-US"/>
        </w:rPr>
        <w:t>Source: Audited Consolidated Financial Statements 2024</w:t>
      </w:r>
      <w:r>
        <w:rPr>
          <w:lang w:val="en-US"/>
        </w:rPr>
        <w:t>)</w:t>
      </w:r>
    </w:p>
    <w:p w14:paraId="7DF2FAE4" w14:textId="77777777" w:rsidR="00AF648A" w:rsidRPr="00AF648A" w:rsidRDefault="00AF648A" w:rsidP="00536EDA">
      <w:pPr>
        <w:spacing w:before="120" w:after="120"/>
        <w:jc w:val="both"/>
        <w:rPr>
          <w:lang w:val="en-US"/>
        </w:rPr>
      </w:pPr>
      <w:r w:rsidRPr="00AF648A">
        <w:rPr>
          <w:lang w:val="en-US"/>
        </w:rPr>
        <w:t>Although the company did not achieve its expected revenue and profit targets for 2024, the Supervisory Board recognizes that the company’s proactive measures and timely directions under difficult conditions have led to commendable results despite a challenging business environment.</w:t>
      </w:r>
    </w:p>
    <w:p w14:paraId="6D8FFE0A" w14:textId="77777777" w:rsidR="00AF648A" w:rsidRPr="00AF648A" w:rsidRDefault="00AF648A" w:rsidP="00B35672">
      <w:pPr>
        <w:spacing w:before="120" w:after="120"/>
        <w:rPr>
          <w:lang w:val="en-US"/>
        </w:rPr>
      </w:pPr>
      <w:r w:rsidRPr="00AF648A">
        <w:rPr>
          <w:lang w:val="en-US"/>
        </w:rPr>
        <w:t xml:space="preserve">6.2. </w:t>
      </w:r>
      <w:r w:rsidRPr="00AF648A">
        <w:rPr>
          <w:b/>
          <w:bCs/>
          <w:lang w:val="en-US"/>
        </w:rPr>
        <w:t>Profit Distribution and Dividend Payment</w:t>
      </w:r>
      <w:r w:rsidRPr="00AF648A">
        <w:rPr>
          <w:lang w:val="en-US"/>
        </w:rPr>
        <w:br/>
        <w:t>The Board of Directors directed the profit distribution and dividend payments for 2022 and 2023 as per the Shareholders Meeting resolution. The company completed the dividend payment within six months of the meeting.</w:t>
      </w:r>
    </w:p>
    <w:p w14:paraId="4811BBF2" w14:textId="77777777" w:rsidR="00AF648A" w:rsidRPr="00AF648A" w:rsidRDefault="00AF648A" w:rsidP="00B35672">
      <w:pPr>
        <w:spacing w:before="120" w:after="120"/>
        <w:rPr>
          <w:lang w:val="en-US"/>
        </w:rPr>
      </w:pPr>
      <w:r w:rsidRPr="00AF648A">
        <w:rPr>
          <w:lang w:val="en-US"/>
        </w:rPr>
        <w:t xml:space="preserve">6.3. </w:t>
      </w:r>
      <w:r w:rsidRPr="00AF648A">
        <w:rPr>
          <w:b/>
          <w:bCs/>
          <w:lang w:val="en-US"/>
        </w:rPr>
        <w:t>Audit Firm Selection</w:t>
      </w:r>
      <w:r w:rsidRPr="00AF648A">
        <w:rPr>
          <w:lang w:val="en-US"/>
        </w:rPr>
        <w:br/>
        <w:t>The company signed an audit contract with AASCS to audit the 2024 financial statements based on their reputation, audit experience, and reasonable audit fees.</w:t>
      </w:r>
    </w:p>
    <w:p w14:paraId="6B64058F" w14:textId="77777777" w:rsidR="00AF648A" w:rsidRPr="00AF648A" w:rsidRDefault="00AF648A" w:rsidP="00B35672">
      <w:pPr>
        <w:spacing w:before="120" w:after="120"/>
        <w:rPr>
          <w:lang w:val="en-US"/>
        </w:rPr>
      </w:pPr>
      <w:r w:rsidRPr="00AF648A">
        <w:rPr>
          <w:lang w:val="en-US"/>
        </w:rPr>
        <w:t xml:space="preserve">6.4. </w:t>
      </w:r>
      <w:r w:rsidRPr="00AF648A">
        <w:rPr>
          <w:b/>
          <w:bCs/>
          <w:lang w:val="en-US"/>
        </w:rPr>
        <w:t>Board of Directors and Supervisory Board Remuneration</w:t>
      </w:r>
      <w:r w:rsidRPr="00AF648A">
        <w:rPr>
          <w:lang w:val="en-US"/>
        </w:rPr>
        <w:br/>
        <w:t>The remuneration and benefits for the Board of Directors, Executive Board, and Supervisory Board were in compliance with legal regulations. The total remuneration for the Board of Directors and Supervisory Board in 2024 was as follows:</w:t>
      </w:r>
    </w:p>
    <w:p w14:paraId="77362633" w14:textId="77777777" w:rsidR="00AF648A" w:rsidRPr="00AF648A" w:rsidRDefault="00AF648A" w:rsidP="00536EDA">
      <w:pPr>
        <w:numPr>
          <w:ilvl w:val="0"/>
          <w:numId w:val="11"/>
        </w:numPr>
        <w:spacing w:before="120" w:after="120"/>
        <w:jc w:val="both"/>
        <w:rPr>
          <w:lang w:val="en-US"/>
        </w:rPr>
      </w:pPr>
      <w:r w:rsidRPr="00AF648A">
        <w:rPr>
          <w:b/>
          <w:bCs/>
          <w:lang w:val="en-US"/>
        </w:rPr>
        <w:t>Board of Directors Remuneration</w:t>
      </w:r>
    </w:p>
    <w:p w14:paraId="7364580D" w14:textId="6497A32B" w:rsidR="00AF648A" w:rsidRDefault="00AF648A" w:rsidP="00536EDA">
      <w:pPr>
        <w:numPr>
          <w:ilvl w:val="1"/>
          <w:numId w:val="11"/>
        </w:numPr>
        <w:spacing w:before="120" w:after="120"/>
        <w:jc w:val="both"/>
        <w:rPr>
          <w:lang w:val="en-US"/>
        </w:rPr>
      </w:pPr>
      <w:r w:rsidRPr="00AF648A">
        <w:rPr>
          <w:lang w:val="en-US"/>
        </w:rPr>
        <w:t>Chairman</w:t>
      </w:r>
      <w:r w:rsidR="00170A17">
        <w:rPr>
          <w:lang w:val="en-US"/>
        </w:rPr>
        <w:t xml:space="preserve"> </w:t>
      </w:r>
      <w:r w:rsidR="00170A17" w:rsidRPr="00170A17">
        <w:t>of the Board of Directors</w:t>
      </w:r>
      <w:r w:rsidRPr="00AF648A">
        <w:rPr>
          <w:lang w:val="en-US"/>
        </w:rPr>
        <w:t>: VND 360,000,000/year</w:t>
      </w:r>
    </w:p>
    <w:p w14:paraId="20E0269A" w14:textId="13F32668" w:rsidR="00170A17" w:rsidRPr="00AF648A" w:rsidRDefault="00170A17" w:rsidP="00536EDA">
      <w:pPr>
        <w:numPr>
          <w:ilvl w:val="1"/>
          <w:numId w:val="11"/>
        </w:numPr>
        <w:spacing w:before="120" w:after="120"/>
        <w:jc w:val="both"/>
        <w:rPr>
          <w:lang w:val="en-US"/>
        </w:rPr>
      </w:pPr>
      <w:r w:rsidRPr="00170A17">
        <w:t>Vice Chairman of the Board of Directors</w:t>
      </w:r>
      <w:r>
        <w:t>: VND 240.000.000/year</w:t>
      </w:r>
    </w:p>
    <w:p w14:paraId="6B92EFB8" w14:textId="12ED867E" w:rsidR="00AF648A" w:rsidRPr="00AF648A" w:rsidRDefault="00AF648A" w:rsidP="00536EDA">
      <w:pPr>
        <w:numPr>
          <w:ilvl w:val="1"/>
          <w:numId w:val="11"/>
        </w:numPr>
        <w:spacing w:before="120" w:after="120"/>
        <w:jc w:val="both"/>
        <w:rPr>
          <w:lang w:val="en-US"/>
        </w:rPr>
      </w:pPr>
      <w:r w:rsidRPr="00AF648A">
        <w:rPr>
          <w:lang w:val="en-US"/>
        </w:rPr>
        <w:t xml:space="preserve">Board Members: VND </w:t>
      </w:r>
      <w:r w:rsidR="00F01147">
        <w:rPr>
          <w:lang w:val="en-US"/>
        </w:rPr>
        <w:t>12</w:t>
      </w:r>
      <w:r w:rsidRPr="00AF648A">
        <w:rPr>
          <w:lang w:val="en-US"/>
        </w:rPr>
        <w:t>0,000,000/year</w:t>
      </w:r>
    </w:p>
    <w:p w14:paraId="7F034F90" w14:textId="77777777" w:rsidR="00AF648A" w:rsidRPr="00AF648A" w:rsidRDefault="00AF648A" w:rsidP="00B35672">
      <w:pPr>
        <w:numPr>
          <w:ilvl w:val="1"/>
          <w:numId w:val="11"/>
        </w:numPr>
        <w:spacing w:before="120" w:after="120"/>
        <w:rPr>
          <w:lang w:val="en-US"/>
        </w:rPr>
      </w:pPr>
      <w:r w:rsidRPr="00AF648A">
        <w:rPr>
          <w:lang w:val="en-US"/>
        </w:rPr>
        <w:t>2 Independent Members: VND 240,000,000/year</w:t>
      </w:r>
      <w:r w:rsidRPr="00AF648A">
        <w:rPr>
          <w:lang w:val="en-US"/>
        </w:rPr>
        <w:br/>
        <w:t>Total: VND 960,000,000</w:t>
      </w:r>
    </w:p>
    <w:p w14:paraId="3D1052E8" w14:textId="77777777" w:rsidR="00AF648A" w:rsidRPr="00AF648A" w:rsidRDefault="00AF648A" w:rsidP="00536EDA">
      <w:pPr>
        <w:numPr>
          <w:ilvl w:val="0"/>
          <w:numId w:val="11"/>
        </w:numPr>
        <w:spacing w:before="120" w:after="120"/>
        <w:jc w:val="both"/>
        <w:rPr>
          <w:lang w:val="en-US"/>
        </w:rPr>
      </w:pPr>
      <w:r w:rsidRPr="00AF648A">
        <w:rPr>
          <w:b/>
          <w:bCs/>
          <w:lang w:val="en-US"/>
        </w:rPr>
        <w:t>Supervisory Board Remuneration</w:t>
      </w:r>
    </w:p>
    <w:p w14:paraId="3649510B" w14:textId="77777777" w:rsidR="00AF648A" w:rsidRPr="00AF648A" w:rsidRDefault="00AF648A" w:rsidP="00536EDA">
      <w:pPr>
        <w:numPr>
          <w:ilvl w:val="1"/>
          <w:numId w:val="11"/>
        </w:numPr>
        <w:spacing w:before="120" w:after="120"/>
        <w:jc w:val="both"/>
        <w:rPr>
          <w:lang w:val="en-US"/>
        </w:rPr>
      </w:pPr>
      <w:r w:rsidRPr="00AF648A">
        <w:rPr>
          <w:lang w:val="en-US"/>
        </w:rPr>
        <w:lastRenderedPageBreak/>
        <w:t>Head of Supervisory Board: VND 60,000,000/year</w:t>
      </w:r>
    </w:p>
    <w:p w14:paraId="35B6E6C4" w14:textId="77777777" w:rsidR="00AF648A" w:rsidRPr="00AF648A" w:rsidRDefault="00AF648A" w:rsidP="00B35672">
      <w:pPr>
        <w:numPr>
          <w:ilvl w:val="1"/>
          <w:numId w:val="11"/>
        </w:numPr>
        <w:spacing w:before="120" w:after="120"/>
        <w:rPr>
          <w:lang w:val="en-US"/>
        </w:rPr>
      </w:pPr>
      <w:r w:rsidRPr="00AF648A">
        <w:rPr>
          <w:lang w:val="en-US"/>
        </w:rPr>
        <w:t>2 Members: VND 48,000,000/year each</w:t>
      </w:r>
      <w:r w:rsidRPr="00AF648A">
        <w:rPr>
          <w:lang w:val="en-US"/>
        </w:rPr>
        <w:br/>
        <w:t>Total: VND 108,000,000</w:t>
      </w:r>
    </w:p>
    <w:p w14:paraId="44BFC9E4" w14:textId="77777777" w:rsidR="00AF648A" w:rsidRPr="00AF648A" w:rsidRDefault="00AF648A" w:rsidP="00B35672">
      <w:pPr>
        <w:spacing w:before="120" w:after="120"/>
        <w:rPr>
          <w:lang w:val="en-US"/>
        </w:rPr>
      </w:pPr>
      <w:r w:rsidRPr="00AF648A">
        <w:rPr>
          <w:lang w:val="en-US"/>
        </w:rPr>
        <w:t xml:space="preserve">6.5. </w:t>
      </w:r>
      <w:r w:rsidRPr="00AF648A">
        <w:rPr>
          <w:b/>
          <w:bCs/>
          <w:lang w:val="en-US"/>
        </w:rPr>
        <w:t>Related Party Transactions</w:t>
      </w:r>
      <w:r w:rsidRPr="00AF648A">
        <w:rPr>
          <w:lang w:val="en-US"/>
        </w:rPr>
        <w:br/>
        <w:t>Transactions with related parties in 2024, as approved by the Shareholders Meeting and Board of Directors, are reflected in the financial statements.</w:t>
      </w:r>
    </w:p>
    <w:p w14:paraId="0CB0FDC2" w14:textId="77777777" w:rsidR="00AF648A" w:rsidRPr="00AF648A" w:rsidRDefault="00AF648A" w:rsidP="00536EDA">
      <w:pPr>
        <w:spacing w:before="120" w:after="120"/>
        <w:jc w:val="both"/>
        <w:rPr>
          <w:b/>
          <w:bCs/>
          <w:lang w:val="en-US"/>
        </w:rPr>
      </w:pPr>
      <w:r w:rsidRPr="00AF648A">
        <w:rPr>
          <w:b/>
          <w:bCs/>
          <w:lang w:val="en-US"/>
        </w:rPr>
        <w:t>7. Direction for the Year 2025</w:t>
      </w:r>
    </w:p>
    <w:p w14:paraId="7D03AB5A" w14:textId="77777777" w:rsidR="00AF648A" w:rsidRPr="00AF648A" w:rsidRDefault="00AF648A" w:rsidP="00536EDA">
      <w:pPr>
        <w:spacing w:before="120" w:after="120"/>
        <w:jc w:val="both"/>
        <w:rPr>
          <w:lang w:val="en-US"/>
        </w:rPr>
      </w:pPr>
      <w:r w:rsidRPr="00AF648A">
        <w:rPr>
          <w:lang w:val="en-US"/>
        </w:rPr>
        <w:t>The Supervisory Board will focus on the following key tasks in the 2025 fiscal year:</w:t>
      </w:r>
    </w:p>
    <w:p w14:paraId="10D19E86" w14:textId="77777777" w:rsidR="00AF648A" w:rsidRPr="00AF648A" w:rsidRDefault="00AF648A" w:rsidP="00536EDA">
      <w:pPr>
        <w:numPr>
          <w:ilvl w:val="0"/>
          <w:numId w:val="12"/>
        </w:numPr>
        <w:spacing w:before="120" w:after="120"/>
        <w:jc w:val="both"/>
        <w:rPr>
          <w:lang w:val="en-US"/>
        </w:rPr>
      </w:pPr>
      <w:r w:rsidRPr="00AF648A">
        <w:rPr>
          <w:lang w:val="en-US"/>
        </w:rPr>
        <w:t>Continue financial control to ensure transparency in all of the company’s financial activities.</w:t>
      </w:r>
    </w:p>
    <w:p w14:paraId="54BB33D9" w14:textId="77777777" w:rsidR="00AF648A" w:rsidRPr="00AF648A" w:rsidRDefault="00AF648A" w:rsidP="00536EDA">
      <w:pPr>
        <w:numPr>
          <w:ilvl w:val="0"/>
          <w:numId w:val="12"/>
        </w:numPr>
        <w:spacing w:before="120" w:after="120"/>
        <w:jc w:val="both"/>
        <w:rPr>
          <w:lang w:val="en-US"/>
        </w:rPr>
      </w:pPr>
      <w:r w:rsidRPr="00AF648A">
        <w:rPr>
          <w:lang w:val="en-US"/>
        </w:rPr>
        <w:t>Supervise the Board of Directors and Executive Board to ensure compliance with laws, the company’s Charter, and resolutions from the General Shareholders Meeting.</w:t>
      </w:r>
    </w:p>
    <w:p w14:paraId="2CC0FC60" w14:textId="77777777" w:rsidR="00AF648A" w:rsidRPr="00AF648A" w:rsidRDefault="00AF648A" w:rsidP="00536EDA">
      <w:pPr>
        <w:numPr>
          <w:ilvl w:val="0"/>
          <w:numId w:val="12"/>
        </w:numPr>
        <w:spacing w:before="120" w:after="120"/>
        <w:jc w:val="both"/>
        <w:rPr>
          <w:lang w:val="en-US"/>
        </w:rPr>
      </w:pPr>
      <w:r w:rsidRPr="00AF648A">
        <w:rPr>
          <w:lang w:val="en-US"/>
        </w:rPr>
        <w:t>Verify the accuracy and prudence in managing the company’s capital and assets.</w:t>
      </w:r>
    </w:p>
    <w:p w14:paraId="029EC1F9" w14:textId="77777777" w:rsidR="00AF648A" w:rsidRPr="00AF648A" w:rsidRDefault="00AF648A" w:rsidP="00536EDA">
      <w:pPr>
        <w:numPr>
          <w:ilvl w:val="0"/>
          <w:numId w:val="12"/>
        </w:numPr>
        <w:spacing w:before="120" w:after="120"/>
        <w:jc w:val="both"/>
        <w:rPr>
          <w:lang w:val="en-US"/>
        </w:rPr>
      </w:pPr>
      <w:r w:rsidRPr="00AF648A">
        <w:rPr>
          <w:lang w:val="en-US"/>
        </w:rPr>
        <w:t>Maintain centralized financial management, corporate governance, labor management, and related employee policies.</w:t>
      </w:r>
    </w:p>
    <w:p w14:paraId="1F8431CB" w14:textId="77777777" w:rsidR="00AF648A" w:rsidRPr="00AF648A" w:rsidRDefault="00AF648A" w:rsidP="00536EDA">
      <w:pPr>
        <w:numPr>
          <w:ilvl w:val="0"/>
          <w:numId w:val="12"/>
        </w:numPr>
        <w:spacing w:before="120" w:after="120"/>
        <w:jc w:val="both"/>
        <w:rPr>
          <w:lang w:val="en-US"/>
        </w:rPr>
      </w:pPr>
      <w:r w:rsidRPr="00AF648A">
        <w:rPr>
          <w:lang w:val="en-US"/>
        </w:rPr>
        <w:t>Ensure effective coordination between related departments and subsidiaries.</w:t>
      </w:r>
    </w:p>
    <w:p w14:paraId="2D770567" w14:textId="77777777" w:rsidR="00AF648A" w:rsidRPr="00AF648A" w:rsidRDefault="00AF648A" w:rsidP="00536EDA">
      <w:pPr>
        <w:spacing w:before="120" w:after="120"/>
        <w:jc w:val="both"/>
        <w:rPr>
          <w:lang w:val="en-US"/>
        </w:rPr>
      </w:pPr>
      <w:r w:rsidRPr="00AF648A">
        <w:rPr>
          <w:lang w:val="en-US"/>
        </w:rPr>
        <w:t>The above is the full report of the Supervisory Board's activities in 2024 and the direction for the tasks in 2025.</w:t>
      </w:r>
    </w:p>
    <w:p w14:paraId="4A1703EE" w14:textId="0F08F2F9" w:rsidR="00AF648A" w:rsidRPr="00AF648A" w:rsidRDefault="00AF648A" w:rsidP="00AF648A">
      <w:pPr>
        <w:jc w:val="both"/>
        <w:rPr>
          <w:lang w:val="en-US"/>
        </w:rPr>
      </w:pPr>
    </w:p>
    <w:tbl>
      <w:tblPr>
        <w:tblStyle w:val="TableGrid"/>
        <w:tblW w:w="0" w:type="auto"/>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0"/>
      </w:tblGrid>
      <w:tr w:rsidR="00F01147" w14:paraId="3ED62003" w14:textId="77777777" w:rsidTr="00F01147">
        <w:tc>
          <w:tcPr>
            <w:tcW w:w="5380" w:type="dxa"/>
          </w:tcPr>
          <w:p w14:paraId="4C52B0D4" w14:textId="77777777" w:rsidR="00F01147" w:rsidRDefault="00F01147" w:rsidP="00F01147">
            <w:pPr>
              <w:jc w:val="center"/>
              <w:rPr>
                <w:b/>
                <w:bCs/>
                <w:lang w:val="en-US"/>
              </w:rPr>
            </w:pPr>
            <w:r w:rsidRPr="00AF648A">
              <w:rPr>
                <w:b/>
                <w:bCs/>
                <w:lang w:val="en-US"/>
              </w:rPr>
              <w:t>ON BEHALF OF THE SUPERVISORY BOARD</w:t>
            </w:r>
            <w:r w:rsidRPr="00AF648A">
              <w:rPr>
                <w:lang w:val="en-US"/>
              </w:rPr>
              <w:br/>
            </w:r>
            <w:r w:rsidRPr="00AF648A">
              <w:rPr>
                <w:b/>
                <w:bCs/>
                <w:lang w:val="en-US"/>
              </w:rPr>
              <w:t>CHAIRMAN OF THE SUPERVISORY BOARD</w:t>
            </w:r>
            <w:r w:rsidRPr="00AF648A">
              <w:rPr>
                <w:lang w:val="en-US"/>
              </w:rPr>
              <w:br/>
            </w:r>
          </w:p>
          <w:p w14:paraId="61FE2160" w14:textId="77777777" w:rsidR="00F01147" w:rsidRDefault="00F01147" w:rsidP="00F01147">
            <w:pPr>
              <w:jc w:val="center"/>
              <w:rPr>
                <w:b/>
                <w:bCs/>
                <w:lang w:val="en-US"/>
              </w:rPr>
            </w:pPr>
          </w:p>
          <w:p w14:paraId="3132611B" w14:textId="77777777" w:rsidR="00F01147" w:rsidRDefault="00F01147" w:rsidP="00F01147">
            <w:pPr>
              <w:jc w:val="center"/>
              <w:rPr>
                <w:b/>
                <w:bCs/>
                <w:lang w:val="en-US"/>
              </w:rPr>
            </w:pPr>
          </w:p>
          <w:p w14:paraId="20197285" w14:textId="77777777" w:rsidR="00F01147" w:rsidRDefault="00F01147" w:rsidP="00F01147">
            <w:pPr>
              <w:jc w:val="center"/>
              <w:rPr>
                <w:b/>
                <w:bCs/>
                <w:lang w:val="en-US"/>
              </w:rPr>
            </w:pPr>
          </w:p>
          <w:p w14:paraId="7D78F402" w14:textId="77777777" w:rsidR="00F01147" w:rsidRDefault="00F01147" w:rsidP="00F01147">
            <w:pPr>
              <w:jc w:val="center"/>
              <w:rPr>
                <w:b/>
                <w:bCs/>
                <w:lang w:val="en-US"/>
              </w:rPr>
            </w:pPr>
          </w:p>
          <w:p w14:paraId="59103C6B" w14:textId="77777777" w:rsidR="00F01147" w:rsidRDefault="00F01147" w:rsidP="00F01147">
            <w:pPr>
              <w:jc w:val="center"/>
              <w:rPr>
                <w:b/>
                <w:bCs/>
                <w:lang w:val="en-US"/>
              </w:rPr>
            </w:pPr>
          </w:p>
          <w:p w14:paraId="6C2C0E90" w14:textId="77777777" w:rsidR="00F01147" w:rsidRDefault="00F01147" w:rsidP="00F01147">
            <w:pPr>
              <w:jc w:val="center"/>
              <w:rPr>
                <w:b/>
                <w:bCs/>
                <w:lang w:val="en-US"/>
              </w:rPr>
            </w:pPr>
          </w:p>
          <w:p w14:paraId="7C6D56C6" w14:textId="5EEAAE42" w:rsidR="00F01147" w:rsidRPr="00AF648A" w:rsidRDefault="00F01147" w:rsidP="00F01147">
            <w:pPr>
              <w:jc w:val="center"/>
              <w:rPr>
                <w:lang w:val="en-US"/>
              </w:rPr>
            </w:pPr>
            <w:r w:rsidRPr="00AF648A">
              <w:rPr>
                <w:b/>
                <w:bCs/>
                <w:lang w:val="en-US"/>
              </w:rPr>
              <w:t>TU THIEN THOAI</w:t>
            </w:r>
          </w:p>
          <w:p w14:paraId="13AF1570" w14:textId="77777777" w:rsidR="00F01147" w:rsidRDefault="00F01147" w:rsidP="00F01147">
            <w:pPr>
              <w:jc w:val="center"/>
            </w:pPr>
          </w:p>
        </w:tc>
      </w:tr>
    </w:tbl>
    <w:p w14:paraId="10E627E6" w14:textId="77777777" w:rsidR="00AF648A" w:rsidRPr="00AF648A" w:rsidRDefault="00AF648A" w:rsidP="00AF648A">
      <w:pPr>
        <w:jc w:val="both"/>
      </w:pPr>
    </w:p>
    <w:sectPr w:rsidR="00AF648A" w:rsidRPr="00AF648A" w:rsidSect="00AF648A">
      <w:pgSz w:w="11906" w:h="16838" w:code="9"/>
      <w:pgMar w:top="851" w:right="1134"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D38C7"/>
    <w:multiLevelType w:val="multilevel"/>
    <w:tmpl w:val="BBAE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500DC7"/>
    <w:multiLevelType w:val="multilevel"/>
    <w:tmpl w:val="9A0C3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707BE3"/>
    <w:multiLevelType w:val="multilevel"/>
    <w:tmpl w:val="067AD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DB00F6"/>
    <w:multiLevelType w:val="multilevel"/>
    <w:tmpl w:val="353E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828D6"/>
    <w:multiLevelType w:val="multilevel"/>
    <w:tmpl w:val="C652D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2F2FA4"/>
    <w:multiLevelType w:val="multilevel"/>
    <w:tmpl w:val="E4E0E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34303E"/>
    <w:multiLevelType w:val="multilevel"/>
    <w:tmpl w:val="EB80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0E4867"/>
    <w:multiLevelType w:val="multilevel"/>
    <w:tmpl w:val="A1640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78497A"/>
    <w:multiLevelType w:val="multilevel"/>
    <w:tmpl w:val="01F8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9018A2"/>
    <w:multiLevelType w:val="multilevel"/>
    <w:tmpl w:val="6AF01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3B0B8A"/>
    <w:multiLevelType w:val="multilevel"/>
    <w:tmpl w:val="9D344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AD39B3"/>
    <w:multiLevelType w:val="multilevel"/>
    <w:tmpl w:val="7F0ED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7697955">
    <w:abstractNumId w:val="8"/>
  </w:num>
  <w:num w:numId="2" w16cid:durableId="828252679">
    <w:abstractNumId w:val="5"/>
  </w:num>
  <w:num w:numId="3" w16cid:durableId="996298586">
    <w:abstractNumId w:val="4"/>
  </w:num>
  <w:num w:numId="4" w16cid:durableId="457843309">
    <w:abstractNumId w:val="9"/>
  </w:num>
  <w:num w:numId="5" w16cid:durableId="1398474455">
    <w:abstractNumId w:val="7"/>
  </w:num>
  <w:num w:numId="6" w16cid:durableId="1030253893">
    <w:abstractNumId w:val="3"/>
  </w:num>
  <w:num w:numId="7" w16cid:durableId="542913597">
    <w:abstractNumId w:val="11"/>
  </w:num>
  <w:num w:numId="8" w16cid:durableId="470245012">
    <w:abstractNumId w:val="10"/>
  </w:num>
  <w:num w:numId="9" w16cid:durableId="1678574441">
    <w:abstractNumId w:val="1"/>
  </w:num>
  <w:num w:numId="10" w16cid:durableId="922955318">
    <w:abstractNumId w:val="0"/>
  </w:num>
  <w:num w:numId="11" w16cid:durableId="940532243">
    <w:abstractNumId w:val="2"/>
  </w:num>
  <w:num w:numId="12" w16cid:durableId="1792431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48A"/>
    <w:rsid w:val="00170A17"/>
    <w:rsid w:val="004E735B"/>
    <w:rsid w:val="00536EDA"/>
    <w:rsid w:val="005B08E7"/>
    <w:rsid w:val="008406D9"/>
    <w:rsid w:val="008945D2"/>
    <w:rsid w:val="00A02358"/>
    <w:rsid w:val="00AF648A"/>
    <w:rsid w:val="00B35672"/>
    <w:rsid w:val="00DC5FDE"/>
    <w:rsid w:val="00F01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B6730"/>
  <w15:chartTrackingRefBased/>
  <w15:docId w15:val="{ED8B9141-802F-4FF3-98FB-4A29B7B19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6"/>
        <w:szCs w:val="26"/>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48A"/>
    <w:pPr>
      <w:spacing w:after="0" w:line="240" w:lineRule="auto"/>
    </w:pPr>
    <w:rPr>
      <w:rFonts w:eastAsia="Times New Roman" w:cs="Times New Roman"/>
      <w:kern w:val="0"/>
      <w:sz w:val="24"/>
      <w:szCs w:val="24"/>
      <w:lang w:val="en"/>
      <w14:ligatures w14:val="none"/>
    </w:rPr>
  </w:style>
  <w:style w:type="paragraph" w:styleId="Heading1">
    <w:name w:val="heading 1"/>
    <w:basedOn w:val="Normal"/>
    <w:next w:val="Normal"/>
    <w:link w:val="Heading1Char"/>
    <w:uiPriority w:val="9"/>
    <w:qFormat/>
    <w:rsid w:val="00AF648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F648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F648A"/>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F648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F648A"/>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AF648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F648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F648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F648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648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F648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F648A"/>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F648A"/>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AF648A"/>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AF648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F648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F648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F648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F648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64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648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648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F648A"/>
    <w:pPr>
      <w:spacing w:before="160"/>
      <w:jc w:val="center"/>
    </w:pPr>
    <w:rPr>
      <w:i/>
      <w:iCs/>
      <w:color w:val="404040" w:themeColor="text1" w:themeTint="BF"/>
    </w:rPr>
  </w:style>
  <w:style w:type="character" w:customStyle="1" w:styleId="QuoteChar">
    <w:name w:val="Quote Char"/>
    <w:basedOn w:val="DefaultParagraphFont"/>
    <w:link w:val="Quote"/>
    <w:uiPriority w:val="29"/>
    <w:rsid w:val="00AF648A"/>
    <w:rPr>
      <w:i/>
      <w:iCs/>
      <w:color w:val="404040" w:themeColor="text1" w:themeTint="BF"/>
    </w:rPr>
  </w:style>
  <w:style w:type="paragraph" w:styleId="ListParagraph">
    <w:name w:val="List Paragraph"/>
    <w:basedOn w:val="Normal"/>
    <w:uiPriority w:val="34"/>
    <w:qFormat/>
    <w:rsid w:val="00AF648A"/>
    <w:pPr>
      <w:ind w:left="720"/>
      <w:contextualSpacing/>
    </w:pPr>
  </w:style>
  <w:style w:type="character" w:styleId="IntenseEmphasis">
    <w:name w:val="Intense Emphasis"/>
    <w:basedOn w:val="DefaultParagraphFont"/>
    <w:uiPriority w:val="21"/>
    <w:qFormat/>
    <w:rsid w:val="00AF648A"/>
    <w:rPr>
      <w:i/>
      <w:iCs/>
      <w:color w:val="2F5496" w:themeColor="accent1" w:themeShade="BF"/>
    </w:rPr>
  </w:style>
  <w:style w:type="paragraph" w:styleId="IntenseQuote">
    <w:name w:val="Intense Quote"/>
    <w:basedOn w:val="Normal"/>
    <w:next w:val="Normal"/>
    <w:link w:val="IntenseQuoteChar"/>
    <w:uiPriority w:val="30"/>
    <w:qFormat/>
    <w:rsid w:val="00AF64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F648A"/>
    <w:rPr>
      <w:i/>
      <w:iCs/>
      <w:color w:val="2F5496" w:themeColor="accent1" w:themeShade="BF"/>
    </w:rPr>
  </w:style>
  <w:style w:type="character" w:styleId="IntenseReference">
    <w:name w:val="Intense Reference"/>
    <w:basedOn w:val="DefaultParagraphFont"/>
    <w:uiPriority w:val="32"/>
    <w:qFormat/>
    <w:rsid w:val="00AF648A"/>
    <w:rPr>
      <w:b/>
      <w:bCs/>
      <w:smallCaps/>
      <w:color w:val="2F5496" w:themeColor="accent1" w:themeShade="BF"/>
      <w:spacing w:val="5"/>
    </w:rPr>
  </w:style>
  <w:style w:type="table" w:styleId="TableGrid">
    <w:name w:val="Table Grid"/>
    <w:basedOn w:val="TableNormal"/>
    <w:uiPriority w:val="39"/>
    <w:rsid w:val="00F011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4206906">
      <w:bodyDiv w:val="1"/>
      <w:marLeft w:val="0"/>
      <w:marRight w:val="0"/>
      <w:marTop w:val="0"/>
      <w:marBottom w:val="0"/>
      <w:divBdr>
        <w:top w:val="none" w:sz="0" w:space="0" w:color="auto"/>
        <w:left w:val="none" w:sz="0" w:space="0" w:color="auto"/>
        <w:bottom w:val="none" w:sz="0" w:space="0" w:color="auto"/>
        <w:right w:val="none" w:sz="0" w:space="0" w:color="auto"/>
      </w:divBdr>
      <w:divsChild>
        <w:div w:id="1016923718">
          <w:marLeft w:val="0"/>
          <w:marRight w:val="0"/>
          <w:marTop w:val="0"/>
          <w:marBottom w:val="0"/>
          <w:divBdr>
            <w:top w:val="none" w:sz="0" w:space="0" w:color="auto"/>
            <w:left w:val="none" w:sz="0" w:space="0" w:color="auto"/>
            <w:bottom w:val="none" w:sz="0" w:space="0" w:color="auto"/>
            <w:right w:val="none" w:sz="0" w:space="0" w:color="auto"/>
          </w:divBdr>
        </w:div>
        <w:div w:id="426928519">
          <w:marLeft w:val="0"/>
          <w:marRight w:val="0"/>
          <w:marTop w:val="0"/>
          <w:marBottom w:val="0"/>
          <w:divBdr>
            <w:top w:val="none" w:sz="0" w:space="0" w:color="auto"/>
            <w:left w:val="none" w:sz="0" w:space="0" w:color="auto"/>
            <w:bottom w:val="none" w:sz="0" w:space="0" w:color="auto"/>
            <w:right w:val="none" w:sz="0" w:space="0" w:color="auto"/>
          </w:divBdr>
        </w:div>
      </w:divsChild>
    </w:div>
    <w:div w:id="1367486241">
      <w:bodyDiv w:val="1"/>
      <w:marLeft w:val="0"/>
      <w:marRight w:val="0"/>
      <w:marTop w:val="0"/>
      <w:marBottom w:val="0"/>
      <w:divBdr>
        <w:top w:val="none" w:sz="0" w:space="0" w:color="auto"/>
        <w:left w:val="none" w:sz="0" w:space="0" w:color="auto"/>
        <w:bottom w:val="none" w:sz="0" w:space="0" w:color="auto"/>
        <w:right w:val="none" w:sz="0" w:space="0" w:color="auto"/>
      </w:divBdr>
      <w:divsChild>
        <w:div w:id="1921402387">
          <w:marLeft w:val="0"/>
          <w:marRight w:val="0"/>
          <w:marTop w:val="0"/>
          <w:marBottom w:val="0"/>
          <w:divBdr>
            <w:top w:val="none" w:sz="0" w:space="0" w:color="auto"/>
            <w:left w:val="none" w:sz="0" w:space="0" w:color="auto"/>
            <w:bottom w:val="none" w:sz="0" w:space="0" w:color="auto"/>
            <w:right w:val="none" w:sz="0" w:space="0" w:color="auto"/>
          </w:divBdr>
        </w:div>
        <w:div w:id="570314889">
          <w:marLeft w:val="0"/>
          <w:marRight w:val="0"/>
          <w:marTop w:val="0"/>
          <w:marBottom w:val="0"/>
          <w:divBdr>
            <w:top w:val="none" w:sz="0" w:space="0" w:color="auto"/>
            <w:left w:val="none" w:sz="0" w:space="0" w:color="auto"/>
            <w:bottom w:val="none" w:sz="0" w:space="0" w:color="auto"/>
            <w:right w:val="none" w:sz="0" w:space="0" w:color="auto"/>
          </w:divBdr>
        </w:div>
      </w:divsChild>
    </w:div>
    <w:div w:id="2106996763">
      <w:bodyDiv w:val="1"/>
      <w:marLeft w:val="0"/>
      <w:marRight w:val="0"/>
      <w:marTop w:val="0"/>
      <w:marBottom w:val="0"/>
      <w:divBdr>
        <w:top w:val="none" w:sz="0" w:space="0" w:color="auto"/>
        <w:left w:val="none" w:sz="0" w:space="0" w:color="auto"/>
        <w:bottom w:val="none" w:sz="0" w:space="0" w:color="auto"/>
        <w:right w:val="none" w:sz="0" w:space="0" w:color="auto"/>
      </w:divBdr>
      <w:divsChild>
        <w:div w:id="1496064776">
          <w:marLeft w:val="0"/>
          <w:marRight w:val="0"/>
          <w:marTop w:val="0"/>
          <w:marBottom w:val="0"/>
          <w:divBdr>
            <w:top w:val="none" w:sz="0" w:space="0" w:color="auto"/>
            <w:left w:val="none" w:sz="0" w:space="0" w:color="auto"/>
            <w:bottom w:val="none" w:sz="0" w:space="0" w:color="auto"/>
            <w:right w:val="none" w:sz="0" w:space="0" w:color="auto"/>
          </w:divBdr>
        </w:div>
        <w:div w:id="312222760">
          <w:marLeft w:val="0"/>
          <w:marRight w:val="0"/>
          <w:marTop w:val="0"/>
          <w:marBottom w:val="0"/>
          <w:divBdr>
            <w:top w:val="none" w:sz="0" w:space="0" w:color="auto"/>
            <w:left w:val="none" w:sz="0" w:space="0" w:color="auto"/>
            <w:bottom w:val="none" w:sz="0" w:space="0" w:color="auto"/>
            <w:right w:val="none" w:sz="0" w:space="0" w:color="auto"/>
          </w:divBdr>
        </w:div>
      </w:divsChild>
    </w:div>
    <w:div w:id="2107967377">
      <w:bodyDiv w:val="1"/>
      <w:marLeft w:val="0"/>
      <w:marRight w:val="0"/>
      <w:marTop w:val="0"/>
      <w:marBottom w:val="0"/>
      <w:divBdr>
        <w:top w:val="none" w:sz="0" w:space="0" w:color="auto"/>
        <w:left w:val="none" w:sz="0" w:space="0" w:color="auto"/>
        <w:bottom w:val="none" w:sz="0" w:space="0" w:color="auto"/>
        <w:right w:val="none" w:sz="0" w:space="0" w:color="auto"/>
      </w:divBdr>
      <w:divsChild>
        <w:div w:id="1668244791">
          <w:marLeft w:val="0"/>
          <w:marRight w:val="0"/>
          <w:marTop w:val="0"/>
          <w:marBottom w:val="0"/>
          <w:divBdr>
            <w:top w:val="none" w:sz="0" w:space="0" w:color="auto"/>
            <w:left w:val="none" w:sz="0" w:space="0" w:color="auto"/>
            <w:bottom w:val="none" w:sz="0" w:space="0" w:color="auto"/>
            <w:right w:val="none" w:sz="0" w:space="0" w:color="auto"/>
          </w:divBdr>
        </w:div>
        <w:div w:id="2016686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1502</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Van Nhut</dc:creator>
  <cp:keywords/>
  <dc:description/>
  <cp:lastModifiedBy>Nguyen Van Nhut</cp:lastModifiedBy>
  <cp:revision>1</cp:revision>
  <dcterms:created xsi:type="dcterms:W3CDTF">2025-03-24T02:50:00Z</dcterms:created>
  <dcterms:modified xsi:type="dcterms:W3CDTF">2025-03-24T07:48:00Z</dcterms:modified>
</cp:coreProperties>
</file>